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51C" w:rsidRDefault="001A551C" w:rsidP="005E4779">
      <w:pPr>
        <w:spacing w:after="0" w:line="240" w:lineRule="auto"/>
        <w:rPr>
          <w:rFonts w:ascii="Book Antiqua" w:hAnsi="Book Antiqua"/>
        </w:rPr>
      </w:pPr>
      <w:r>
        <w:rPr>
          <w:rFonts w:ascii="Book Antiqua" w:hAnsi="Book Antiqua"/>
        </w:rPr>
        <w:t xml:space="preserve">          </w:t>
      </w:r>
      <w:r w:rsidR="00EF7596">
        <w:rPr>
          <w:noProof/>
          <w:lang w:eastAsia="hr-HR"/>
        </w:rPr>
        <w:drawing>
          <wp:inline distT="0" distB="0" distL="0" distR="0" wp14:anchorId="0E2C522D" wp14:editId="55593095">
            <wp:extent cx="5334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r>
        <w:rPr>
          <w:rFonts w:ascii="Book Antiqua" w:hAnsi="Book Antiqua"/>
        </w:rPr>
        <w:t xml:space="preserve"> </w:t>
      </w:r>
      <w:r w:rsidR="00E97DDA">
        <w:rPr>
          <w:rFonts w:ascii="Book Antiqua" w:hAnsi="Book Antiqua"/>
        </w:rPr>
        <w:t xml:space="preserve"> </w:t>
      </w:r>
      <w:r>
        <w:rPr>
          <w:rFonts w:ascii="Book Antiqua" w:hAnsi="Book Antiqua"/>
        </w:rPr>
        <w:t xml:space="preserve">    </w:t>
      </w:r>
    </w:p>
    <w:p w:rsidR="001A551C" w:rsidRPr="00A97ECB" w:rsidRDefault="00EF7596" w:rsidP="005E4779">
      <w:pPr>
        <w:spacing w:after="0" w:line="240" w:lineRule="auto"/>
        <w:rPr>
          <w:rFonts w:ascii="Calibri" w:hAnsi="Calibri"/>
        </w:rPr>
      </w:pPr>
      <w:r>
        <w:rPr>
          <w:rFonts w:ascii="Calibri" w:hAnsi="Calibri"/>
        </w:rPr>
        <w:t xml:space="preserve"> </w:t>
      </w:r>
      <w:r w:rsidR="001A551C" w:rsidRPr="00A97ECB">
        <w:rPr>
          <w:rFonts w:ascii="Calibri" w:hAnsi="Calibri"/>
        </w:rPr>
        <w:t>REPUBLIKA HRVATSKA</w:t>
      </w:r>
    </w:p>
    <w:p w:rsidR="001A551C" w:rsidRPr="00A97ECB" w:rsidRDefault="00EF7596" w:rsidP="005E4779">
      <w:pPr>
        <w:spacing w:after="0" w:line="240" w:lineRule="auto"/>
        <w:rPr>
          <w:rFonts w:ascii="Calibri" w:hAnsi="Calibri"/>
        </w:rPr>
      </w:pPr>
      <w:r>
        <w:rPr>
          <w:rFonts w:ascii="Calibri" w:hAnsi="Calibri"/>
        </w:rPr>
        <w:t xml:space="preserve">     </w:t>
      </w:r>
      <w:r w:rsidR="001A551C" w:rsidRPr="00A97ECB">
        <w:rPr>
          <w:rFonts w:ascii="Calibri" w:hAnsi="Calibri"/>
        </w:rPr>
        <w:t xml:space="preserve"> GRAD ZAGREB</w:t>
      </w:r>
    </w:p>
    <w:p w:rsidR="001A551C" w:rsidRPr="00A97ECB" w:rsidRDefault="001A551C" w:rsidP="005E4779">
      <w:pPr>
        <w:spacing w:after="0" w:line="240" w:lineRule="auto"/>
        <w:rPr>
          <w:rFonts w:ascii="Calibri" w:hAnsi="Calibri"/>
          <w:b/>
        </w:rPr>
      </w:pPr>
      <w:r w:rsidRPr="00A97ECB">
        <w:rPr>
          <w:rFonts w:ascii="Calibri" w:hAnsi="Calibri"/>
          <w:b/>
        </w:rPr>
        <w:t xml:space="preserve">  </w:t>
      </w:r>
    </w:p>
    <w:p w:rsidR="001A551C" w:rsidRDefault="001A551C" w:rsidP="005E4779">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Razina 22                 </w:t>
      </w:r>
    </w:p>
    <w:p w:rsidR="001A551C" w:rsidRPr="00A97ECB" w:rsidRDefault="001A551C" w:rsidP="005E4779">
      <w:pPr>
        <w:spacing w:after="0" w:line="240" w:lineRule="auto"/>
        <w:rPr>
          <w:rFonts w:ascii="Calibri" w:hAnsi="Calibri"/>
        </w:rPr>
      </w:pPr>
      <w:r w:rsidRPr="00A97ECB">
        <w:rPr>
          <w:rFonts w:ascii="Calibri" w:hAnsi="Calibri"/>
        </w:rPr>
        <w:t>Klasa: 401-01</w:t>
      </w:r>
      <w:r>
        <w:rPr>
          <w:rFonts w:ascii="Calibri" w:hAnsi="Calibri"/>
        </w:rPr>
        <w:t>/</w:t>
      </w:r>
      <w:r w:rsidR="00F4669F">
        <w:rPr>
          <w:rFonts w:ascii="Calibri" w:hAnsi="Calibri"/>
        </w:rPr>
        <w:t>2</w:t>
      </w:r>
      <w:r w:rsidR="001E0D7D">
        <w:rPr>
          <w:rFonts w:ascii="Calibri" w:hAnsi="Calibri"/>
        </w:rPr>
        <w:t>1</w:t>
      </w:r>
      <w:r w:rsidR="00934BA3">
        <w:rPr>
          <w:rFonts w:ascii="Calibri" w:hAnsi="Calibri"/>
        </w:rPr>
        <w:t>-001/</w:t>
      </w:r>
      <w:r w:rsidR="00F4669F">
        <w:rPr>
          <w:rFonts w:ascii="Calibri" w:hAnsi="Calibri"/>
        </w:rPr>
        <w:t xml:space="preserve"> </w:t>
      </w:r>
      <w:r w:rsidR="007F1DA2">
        <w:rPr>
          <w:rFonts w:ascii="Calibri" w:hAnsi="Calibri"/>
        </w:rPr>
        <w:t>164</w:t>
      </w:r>
      <w:r w:rsidR="00F4669F">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r>
      <w:r>
        <w:rPr>
          <w:rFonts w:ascii="Calibri" w:hAnsi="Calibri"/>
        </w:rPr>
        <w:tab/>
        <w:t>Matični broj: 02576651</w:t>
      </w:r>
    </w:p>
    <w:p w:rsidR="001A551C" w:rsidRDefault="001A551C" w:rsidP="005E4779">
      <w:pPr>
        <w:spacing w:after="0" w:line="240" w:lineRule="auto"/>
        <w:rPr>
          <w:rFonts w:ascii="Calibri" w:hAnsi="Calibri"/>
        </w:rPr>
      </w:pPr>
      <w:proofErr w:type="spellStart"/>
      <w:r w:rsidRPr="00A97ECB">
        <w:rPr>
          <w:rFonts w:ascii="Calibri" w:hAnsi="Calibri"/>
        </w:rPr>
        <w:t>Urbroj</w:t>
      </w:r>
      <w:proofErr w:type="spellEnd"/>
      <w:r w:rsidRPr="00A97ECB">
        <w:rPr>
          <w:rFonts w:ascii="Calibri" w:hAnsi="Calibri"/>
        </w:rPr>
        <w:t>:</w:t>
      </w:r>
      <w:r>
        <w:rPr>
          <w:rFonts w:ascii="Calibri" w:hAnsi="Calibri"/>
        </w:rPr>
        <w:t xml:space="preserve"> 251-08-</w:t>
      </w:r>
      <w:r>
        <w:rPr>
          <w:rFonts w:ascii="Calibri" w:hAnsi="Calibri"/>
        </w:rPr>
        <w:tab/>
      </w:r>
      <w:r w:rsidR="00934BA3">
        <w:rPr>
          <w:rFonts w:ascii="Calibri" w:hAnsi="Calibri"/>
        </w:rPr>
        <w:t>22-</w:t>
      </w:r>
      <w:r w:rsidR="00F4669F">
        <w:rPr>
          <w:rFonts w:ascii="Calibri" w:hAnsi="Calibri"/>
        </w:rPr>
        <w:t>20</w:t>
      </w:r>
      <w:r w:rsidR="00934BA3">
        <w:rPr>
          <w:rFonts w:ascii="Calibri" w:hAnsi="Calibri"/>
        </w:rPr>
        <w:t>-</w:t>
      </w:r>
      <w:r w:rsidR="00F2123B">
        <w:rPr>
          <w:rFonts w:ascii="Calibri" w:hAnsi="Calibri"/>
        </w:rPr>
        <w:t>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934BA3">
        <w:rPr>
          <w:rFonts w:ascii="Calibri" w:hAnsi="Calibri"/>
        </w:rPr>
        <w:tab/>
      </w:r>
      <w:r w:rsidR="00934BA3">
        <w:rPr>
          <w:rFonts w:ascii="Calibri" w:hAnsi="Calibri"/>
        </w:rPr>
        <w:tab/>
      </w:r>
      <w:r>
        <w:rPr>
          <w:rFonts w:ascii="Calibri" w:hAnsi="Calibri"/>
        </w:rPr>
        <w:t>OIB: 61817894937</w:t>
      </w:r>
      <w:r>
        <w:rPr>
          <w:rFonts w:ascii="Calibri" w:hAnsi="Calibri"/>
        </w:rPr>
        <w:tab/>
      </w:r>
    </w:p>
    <w:p w:rsidR="001A551C" w:rsidRPr="00A97ECB" w:rsidRDefault="001A551C" w:rsidP="005E4779">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RKP: 31213</w:t>
      </w:r>
    </w:p>
    <w:p w:rsidR="001A551C" w:rsidRDefault="001A551C" w:rsidP="005E4779">
      <w:pPr>
        <w:spacing w:after="0" w:line="240" w:lineRule="auto"/>
      </w:pPr>
      <w:r w:rsidRPr="00A97ECB">
        <w:rPr>
          <w:rFonts w:ascii="Calibri" w:hAnsi="Calibri"/>
        </w:rPr>
        <w:t xml:space="preserve">Zagreb, </w:t>
      </w:r>
      <w:r w:rsidR="00F4669F">
        <w:rPr>
          <w:rFonts w:ascii="Calibri" w:hAnsi="Calibri"/>
        </w:rPr>
        <w:t>0</w:t>
      </w:r>
      <w:r w:rsidR="001E0D7D">
        <w:rPr>
          <w:rFonts w:ascii="Calibri" w:hAnsi="Calibri"/>
        </w:rPr>
        <w:t>2</w:t>
      </w:r>
      <w:r>
        <w:rPr>
          <w:rFonts w:ascii="Calibri" w:hAnsi="Calibri"/>
        </w:rPr>
        <w:t>.02.20</w:t>
      </w:r>
      <w:r w:rsidR="00F4669F">
        <w:rPr>
          <w:rFonts w:ascii="Calibri" w:hAnsi="Calibri"/>
        </w:rPr>
        <w:t>2</w:t>
      </w:r>
      <w:r w:rsidR="001E0D7D">
        <w:rPr>
          <w:rFonts w:ascii="Calibri" w:hAnsi="Calibri"/>
        </w:rPr>
        <w:t>1</w:t>
      </w:r>
      <w:r>
        <w:rPr>
          <w:rFonts w:ascii="Calibri" w:hAnsi="Calibri"/>
        </w:rPr>
        <w: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Šifra djelatnosti: 8411</w:t>
      </w:r>
    </w:p>
    <w:p w:rsidR="001A551C" w:rsidRDefault="001A551C" w:rsidP="005E4779">
      <w:pPr>
        <w:spacing w:after="0" w:line="240" w:lineRule="auto"/>
      </w:pPr>
    </w:p>
    <w:p w:rsidR="002B4A35" w:rsidRDefault="002B4A35" w:rsidP="005E4779">
      <w:pPr>
        <w:spacing w:after="0" w:line="240" w:lineRule="auto"/>
        <w:jc w:val="center"/>
        <w:rPr>
          <w:b/>
          <w:sz w:val="28"/>
          <w:szCs w:val="28"/>
        </w:rPr>
      </w:pPr>
    </w:p>
    <w:p w:rsidR="00E97DDA" w:rsidRDefault="00E97DDA" w:rsidP="005E4779">
      <w:pPr>
        <w:spacing w:after="0" w:line="240" w:lineRule="auto"/>
        <w:jc w:val="center"/>
        <w:rPr>
          <w:b/>
          <w:sz w:val="28"/>
          <w:szCs w:val="28"/>
        </w:rPr>
      </w:pPr>
      <w:r>
        <w:rPr>
          <w:b/>
          <w:sz w:val="28"/>
          <w:szCs w:val="28"/>
        </w:rPr>
        <w:t xml:space="preserve">Bilješke uz financijske izvještaje </w:t>
      </w:r>
    </w:p>
    <w:p w:rsidR="00E97DDA" w:rsidRPr="00E97DDA" w:rsidRDefault="00E97DDA" w:rsidP="005E4779">
      <w:pPr>
        <w:spacing w:after="0" w:line="240" w:lineRule="auto"/>
        <w:jc w:val="center"/>
        <w:rPr>
          <w:b/>
          <w:sz w:val="28"/>
          <w:szCs w:val="28"/>
        </w:rPr>
      </w:pPr>
      <w:r>
        <w:rPr>
          <w:b/>
          <w:sz w:val="28"/>
          <w:szCs w:val="28"/>
        </w:rPr>
        <w:t>za razdoblje od 01.01.20</w:t>
      </w:r>
      <w:r w:rsidR="006F73C1">
        <w:rPr>
          <w:b/>
          <w:sz w:val="28"/>
          <w:szCs w:val="28"/>
        </w:rPr>
        <w:t>20</w:t>
      </w:r>
      <w:r>
        <w:rPr>
          <w:b/>
          <w:sz w:val="28"/>
          <w:szCs w:val="28"/>
        </w:rPr>
        <w:t>. – 31.12.20</w:t>
      </w:r>
      <w:r w:rsidR="006F73C1">
        <w:rPr>
          <w:b/>
          <w:sz w:val="28"/>
          <w:szCs w:val="28"/>
        </w:rPr>
        <w:t>20</w:t>
      </w:r>
      <w:r>
        <w:rPr>
          <w:b/>
          <w:sz w:val="28"/>
          <w:szCs w:val="28"/>
        </w:rPr>
        <w:t>.</w:t>
      </w:r>
    </w:p>
    <w:p w:rsidR="00E97DDA" w:rsidRDefault="00E97DDA" w:rsidP="005E4779">
      <w:pPr>
        <w:spacing w:after="0" w:line="240" w:lineRule="auto"/>
      </w:pPr>
    </w:p>
    <w:p w:rsidR="001A551C" w:rsidRDefault="000A454D" w:rsidP="005E4779">
      <w:pPr>
        <w:spacing w:after="0" w:line="240" w:lineRule="auto"/>
        <w:jc w:val="both"/>
        <w:rPr>
          <w:sz w:val="28"/>
          <w:szCs w:val="28"/>
        </w:rPr>
      </w:pPr>
      <w:r w:rsidRPr="00E97DDA">
        <w:rPr>
          <w:sz w:val="28"/>
          <w:szCs w:val="28"/>
        </w:rPr>
        <w:t>UVOD</w:t>
      </w:r>
    </w:p>
    <w:p w:rsidR="006627CA" w:rsidRPr="00E97DDA" w:rsidRDefault="006627CA" w:rsidP="005E4779">
      <w:pPr>
        <w:spacing w:after="0" w:line="240" w:lineRule="auto"/>
        <w:jc w:val="both"/>
        <w:rPr>
          <w:sz w:val="28"/>
          <w:szCs w:val="28"/>
        </w:rPr>
      </w:pPr>
    </w:p>
    <w:p w:rsidR="00076E84" w:rsidRDefault="00076E84" w:rsidP="005E4779">
      <w:pPr>
        <w:spacing w:after="0" w:line="240" w:lineRule="auto"/>
        <w:jc w:val="both"/>
      </w:pPr>
      <w:r>
        <w:t>Grad Zagreb ustrojen je na temelju Zakona o lokalnoj i područnoj (regionalnoj) samoupravi (Narodne novine 33/01, 60/01, 129/05, 109/07, 125/08, 36/09, 150/11, 144/12, 19/13, 137/15</w:t>
      </w:r>
      <w:r w:rsidR="006F73C1">
        <w:t>,</w:t>
      </w:r>
      <w:r>
        <w:t xml:space="preserve"> 123/17</w:t>
      </w:r>
      <w:r w:rsidR="006F73C1">
        <w:t>,98/19 i 144/20</w:t>
      </w:r>
      <w:r>
        <w:t>) i Zakona o područjima županija, gradova i općina u Republici Hrvatskoj (Narodne novine 86/06, 125/06, 16/07, 95/08, 46/10, 145/10, 37/13, 44/13, 45/13 i 110/15). Položaj ustrojstvo i djelokrug Grada Zagreba uređeni su Zakonom o Gradu Zagrebu (Narodne novine 62/01, 125/08, 36/09</w:t>
      </w:r>
      <w:r w:rsidR="006F73C1">
        <w:t>,</w:t>
      </w:r>
      <w:r>
        <w:t xml:space="preserve"> 119/14</w:t>
      </w:r>
      <w:r w:rsidR="006F73C1">
        <w:t>, 98/19 i 144/20</w:t>
      </w:r>
      <w:r>
        <w:t>).</w:t>
      </w:r>
    </w:p>
    <w:p w:rsidR="00076E84" w:rsidRDefault="00076E84" w:rsidP="005E4779">
      <w:pPr>
        <w:spacing w:after="0" w:line="240" w:lineRule="auto"/>
        <w:jc w:val="both"/>
      </w:pPr>
      <w:r>
        <w:t>Za obavljanje poslova iz djelokruga Grada u 20</w:t>
      </w:r>
      <w:r w:rsidR="00352B43">
        <w:t>20</w:t>
      </w:r>
      <w:r>
        <w:t>. godini ustrojen</w:t>
      </w:r>
      <w:r w:rsidR="00352B43">
        <w:t>o je</w:t>
      </w:r>
      <w:r>
        <w:t xml:space="preserve"> 2</w:t>
      </w:r>
      <w:r w:rsidR="00352B43">
        <w:t>7</w:t>
      </w:r>
      <w:r>
        <w:t xml:space="preserve"> upravn</w:t>
      </w:r>
      <w:r w:rsidR="00352B43">
        <w:t>ih</w:t>
      </w:r>
      <w:r w:rsidR="001450C6">
        <w:t xml:space="preserve"> tijela (</w:t>
      </w:r>
      <w:r>
        <w:t>2</w:t>
      </w:r>
      <w:r w:rsidR="00352B43">
        <w:t>4</w:t>
      </w:r>
      <w:r>
        <w:t xml:space="preserve"> Gradska ureda, 2 stručne službe i 1 zavod).</w:t>
      </w:r>
      <w:r w:rsidR="00352B43">
        <w:t xml:space="preserve"> U odnosu na 2019. godinu ustrojena su dva nova Grads</w:t>
      </w:r>
      <w:r w:rsidR="001E0D7D">
        <w:t>ka ureda, Ured za zastupanje i Ured za upravljanje imovinom grada.</w:t>
      </w:r>
    </w:p>
    <w:p w:rsidR="00076E84" w:rsidRPr="00872559" w:rsidRDefault="00076E84" w:rsidP="005E4779">
      <w:pPr>
        <w:spacing w:after="0" w:line="240" w:lineRule="auto"/>
        <w:jc w:val="both"/>
        <w:rPr>
          <w:rFonts w:cstheme="minorHAnsi"/>
        </w:rPr>
      </w:pPr>
      <w:r>
        <w:t xml:space="preserve">Grad Zagreb vodi poslovne knjige i sastavlja financijske izvještaje prema proračunskom računovodstvu </w:t>
      </w:r>
      <w:r w:rsidRPr="00872559">
        <w:rPr>
          <w:rFonts w:cstheme="minorHAnsi"/>
        </w:rPr>
        <w:t>u skladu sa Zakonom o proračunu (</w:t>
      </w:r>
      <w:r>
        <w:t xml:space="preserve">Narodne novine </w:t>
      </w:r>
      <w:r w:rsidRPr="00872559">
        <w:rPr>
          <w:rFonts w:cstheme="minorHAnsi"/>
        </w:rPr>
        <w:t>87/08, 136/12 i 15/15)</w:t>
      </w:r>
      <w:r>
        <w:rPr>
          <w:rFonts w:cstheme="minorHAnsi"/>
        </w:rPr>
        <w:t>,</w:t>
      </w:r>
      <w:r w:rsidRPr="00872559">
        <w:rPr>
          <w:rFonts w:cstheme="minorHAnsi"/>
        </w:rPr>
        <w:t xml:space="preserve"> Pravilnikom o proračunskom računovodstvu i rač</w:t>
      </w:r>
      <w:r>
        <w:rPr>
          <w:rFonts w:cstheme="minorHAnsi"/>
        </w:rPr>
        <w:t>unskom planu (</w:t>
      </w:r>
      <w:r>
        <w:t>Narodne novine</w:t>
      </w:r>
      <w:r w:rsidRPr="00872559">
        <w:rPr>
          <w:rFonts w:cstheme="minorHAnsi"/>
        </w:rPr>
        <w:t xml:space="preserve"> 124/2014, 115/15</w:t>
      </w:r>
      <w:r>
        <w:rPr>
          <w:rFonts w:cstheme="minorHAnsi"/>
        </w:rPr>
        <w:t>,</w:t>
      </w:r>
      <w:r w:rsidRPr="00872559">
        <w:rPr>
          <w:rFonts w:cstheme="minorHAnsi"/>
        </w:rPr>
        <w:t xml:space="preserve"> 87/16</w:t>
      </w:r>
      <w:r w:rsidR="002C4066">
        <w:rPr>
          <w:rFonts w:cstheme="minorHAnsi"/>
        </w:rPr>
        <w:t>,</w:t>
      </w:r>
      <w:r>
        <w:rPr>
          <w:rFonts w:cstheme="minorHAnsi"/>
        </w:rPr>
        <w:t xml:space="preserve"> 3/18</w:t>
      </w:r>
      <w:r w:rsidR="002C4066">
        <w:rPr>
          <w:rFonts w:cstheme="minorHAnsi"/>
        </w:rPr>
        <w:t xml:space="preserve"> i 126/19</w:t>
      </w:r>
      <w:r w:rsidRPr="00872559">
        <w:rPr>
          <w:rFonts w:cstheme="minorHAnsi"/>
        </w:rPr>
        <w:t>)</w:t>
      </w:r>
      <w:r>
        <w:rPr>
          <w:rFonts w:cstheme="minorHAnsi"/>
        </w:rPr>
        <w:t>, Pravilnikom o financijskom izvještavanju u proračunskom računovodstvu (Narodne novine 3/15, 93/15, 135/15, 2/17, 28/17</w:t>
      </w:r>
      <w:r w:rsidR="002C4066">
        <w:rPr>
          <w:rFonts w:cstheme="minorHAnsi"/>
        </w:rPr>
        <w:t>,</w:t>
      </w:r>
      <w:r>
        <w:rPr>
          <w:rFonts w:cstheme="minorHAnsi"/>
        </w:rPr>
        <w:t xml:space="preserve"> 112/18</w:t>
      </w:r>
      <w:r w:rsidR="001E0D7D">
        <w:rPr>
          <w:rFonts w:cstheme="minorHAnsi"/>
        </w:rPr>
        <w:t>,</w:t>
      </w:r>
      <w:r w:rsidR="002C4066">
        <w:rPr>
          <w:rFonts w:cstheme="minorHAnsi"/>
        </w:rPr>
        <w:t xml:space="preserve"> 126/19</w:t>
      </w:r>
      <w:r w:rsidR="001E0D7D">
        <w:rPr>
          <w:rFonts w:cstheme="minorHAnsi"/>
        </w:rPr>
        <w:t xml:space="preserve"> i 108/2020</w:t>
      </w:r>
      <w:r>
        <w:rPr>
          <w:rFonts w:cstheme="minorHAnsi"/>
        </w:rPr>
        <w:t>)</w:t>
      </w:r>
      <w:r w:rsidRPr="00872559">
        <w:rPr>
          <w:rFonts w:cstheme="minorHAnsi"/>
        </w:rPr>
        <w:t xml:space="preserve">. Grad u svojim knjigovodstvenim evidencijama osigurava </w:t>
      </w:r>
      <w:r>
        <w:rPr>
          <w:rFonts w:cstheme="minorHAnsi"/>
        </w:rPr>
        <w:t xml:space="preserve">podatke o vrstama </w:t>
      </w:r>
      <w:r w:rsidRPr="00872559">
        <w:rPr>
          <w:rFonts w:cstheme="minorHAnsi"/>
        </w:rPr>
        <w:t>prihoda i primitaka, rashoda i izdataka, stanju imovine, obveza i vlastitih izvora. Knjigovodstvo se vodi po na</w:t>
      </w:r>
      <w:r>
        <w:rPr>
          <w:rFonts w:cstheme="minorHAnsi"/>
        </w:rPr>
        <w:t>č</w:t>
      </w:r>
      <w:r w:rsidRPr="00872559">
        <w:rPr>
          <w:rFonts w:cstheme="minorHAnsi"/>
        </w:rPr>
        <w:t>elu dvojnog knjigovodstva,</w:t>
      </w:r>
      <w:r>
        <w:rPr>
          <w:rFonts w:cstheme="minorHAnsi"/>
        </w:rPr>
        <w:t xml:space="preserve"> prema propisanom računskom planu. P</w:t>
      </w:r>
      <w:r w:rsidRPr="00872559">
        <w:rPr>
          <w:rFonts w:cstheme="minorHAnsi"/>
        </w:rPr>
        <w:t>rihodi i primici te rashodi i izd</w:t>
      </w:r>
      <w:r>
        <w:rPr>
          <w:rFonts w:cstheme="minorHAnsi"/>
        </w:rPr>
        <w:t xml:space="preserve">aci iskazuju se prema </w:t>
      </w:r>
      <w:r w:rsidRPr="00872559">
        <w:rPr>
          <w:rFonts w:cstheme="minorHAnsi"/>
        </w:rPr>
        <w:t>modificiranom na</w:t>
      </w:r>
      <w:r>
        <w:rPr>
          <w:rFonts w:cstheme="minorHAnsi"/>
        </w:rPr>
        <w:t>č</w:t>
      </w:r>
      <w:r w:rsidRPr="00872559">
        <w:rPr>
          <w:rFonts w:cstheme="minorHAnsi"/>
        </w:rPr>
        <w:t>elu nastanka doga</w:t>
      </w:r>
      <w:r>
        <w:rPr>
          <w:rFonts w:cstheme="minorHAnsi"/>
        </w:rPr>
        <w:t>đ</w:t>
      </w:r>
      <w:r w:rsidRPr="00872559">
        <w:rPr>
          <w:rFonts w:cstheme="minorHAnsi"/>
        </w:rPr>
        <w:t>aja. Prihodi i primici priznaju se u</w:t>
      </w:r>
      <w:r>
        <w:rPr>
          <w:rFonts w:cstheme="minorHAnsi"/>
        </w:rPr>
        <w:t xml:space="preserve"> </w:t>
      </w:r>
      <w:r w:rsidRPr="00872559">
        <w:rPr>
          <w:rFonts w:cstheme="minorHAnsi"/>
        </w:rPr>
        <w:t>izvještajnom razdoblju u kojem su postali raspoloživi i pod uvjetom da su</w:t>
      </w:r>
      <w:r>
        <w:rPr>
          <w:rFonts w:cstheme="minorHAnsi"/>
        </w:rPr>
        <w:t xml:space="preserve"> mjerljivi. Rashodi se priznaju </w:t>
      </w:r>
      <w:r w:rsidRPr="00872559">
        <w:rPr>
          <w:rFonts w:cstheme="minorHAnsi"/>
        </w:rPr>
        <w:t>na temelju nastanka doga</w:t>
      </w:r>
      <w:r>
        <w:rPr>
          <w:rFonts w:cstheme="minorHAnsi"/>
        </w:rPr>
        <w:t>đ</w:t>
      </w:r>
      <w:r w:rsidRPr="00872559">
        <w:rPr>
          <w:rFonts w:cstheme="minorHAnsi"/>
        </w:rPr>
        <w:t>aja u izvještajnom razdobl</w:t>
      </w:r>
      <w:r>
        <w:rPr>
          <w:rFonts w:cstheme="minorHAnsi"/>
        </w:rPr>
        <w:t xml:space="preserve">ju na koje se odnose neovisno o </w:t>
      </w:r>
      <w:r w:rsidRPr="00872559">
        <w:rPr>
          <w:rFonts w:cstheme="minorHAnsi"/>
        </w:rPr>
        <w:t>pla</w:t>
      </w:r>
      <w:r>
        <w:rPr>
          <w:rFonts w:cstheme="minorHAnsi"/>
        </w:rPr>
        <w:t>ć</w:t>
      </w:r>
      <w:r w:rsidRPr="00872559">
        <w:rPr>
          <w:rFonts w:cstheme="minorHAnsi"/>
        </w:rPr>
        <w:t>anju. Intern</w:t>
      </w:r>
      <w:r>
        <w:rPr>
          <w:rFonts w:cstheme="minorHAnsi"/>
        </w:rPr>
        <w:t>o</w:t>
      </w:r>
      <w:r w:rsidRPr="00872559">
        <w:rPr>
          <w:rFonts w:cstheme="minorHAnsi"/>
        </w:rPr>
        <w:t>m uput</w:t>
      </w:r>
      <w:r>
        <w:rPr>
          <w:rFonts w:cstheme="minorHAnsi"/>
        </w:rPr>
        <w:t>om</w:t>
      </w:r>
      <w:r w:rsidRPr="00872559">
        <w:rPr>
          <w:rFonts w:cstheme="minorHAnsi"/>
        </w:rPr>
        <w:t xml:space="preserve"> utvr</w:t>
      </w:r>
      <w:r>
        <w:rPr>
          <w:rFonts w:cstheme="minorHAnsi"/>
        </w:rPr>
        <w:t>đ</w:t>
      </w:r>
      <w:r w:rsidRPr="00872559">
        <w:rPr>
          <w:rFonts w:cstheme="minorHAnsi"/>
        </w:rPr>
        <w:t xml:space="preserve">eni su rokovi za </w:t>
      </w:r>
      <w:r>
        <w:rPr>
          <w:rFonts w:cstheme="minorHAnsi"/>
        </w:rPr>
        <w:t xml:space="preserve">dostavu financijske </w:t>
      </w:r>
      <w:r w:rsidRPr="00872559">
        <w:rPr>
          <w:rFonts w:cstheme="minorHAnsi"/>
        </w:rPr>
        <w:t xml:space="preserve">dokumentacije koja </w:t>
      </w:r>
      <w:r>
        <w:rPr>
          <w:rFonts w:cstheme="minorHAnsi"/>
        </w:rPr>
        <w:t>ć</w:t>
      </w:r>
      <w:r w:rsidRPr="00872559">
        <w:rPr>
          <w:rFonts w:cstheme="minorHAnsi"/>
        </w:rPr>
        <w:t>e se evidentirati u poslovnim knjigama 20</w:t>
      </w:r>
      <w:r w:rsidR="001E0D7D">
        <w:rPr>
          <w:rFonts w:cstheme="minorHAnsi"/>
        </w:rPr>
        <w:t>20</w:t>
      </w:r>
      <w:r w:rsidRPr="00872559">
        <w:rPr>
          <w:rFonts w:cstheme="minorHAnsi"/>
        </w:rPr>
        <w:t>. godine.</w:t>
      </w:r>
    </w:p>
    <w:p w:rsidR="003E338E" w:rsidRDefault="003E338E" w:rsidP="005E4779">
      <w:pPr>
        <w:spacing w:after="0" w:line="240" w:lineRule="auto"/>
        <w:jc w:val="both"/>
      </w:pPr>
    </w:p>
    <w:p w:rsidR="00A76A7E" w:rsidRDefault="00A76A7E" w:rsidP="005E4779">
      <w:pPr>
        <w:spacing w:after="0" w:line="240" w:lineRule="auto"/>
        <w:jc w:val="both"/>
        <w:rPr>
          <w:sz w:val="28"/>
          <w:szCs w:val="28"/>
        </w:rPr>
      </w:pPr>
    </w:p>
    <w:p w:rsidR="00A76A7E" w:rsidRDefault="00A76A7E" w:rsidP="005E4779">
      <w:pPr>
        <w:spacing w:after="0" w:line="240" w:lineRule="auto"/>
        <w:jc w:val="both"/>
        <w:rPr>
          <w:sz w:val="28"/>
          <w:szCs w:val="28"/>
        </w:rPr>
      </w:pPr>
    </w:p>
    <w:p w:rsidR="00A76A7E" w:rsidRDefault="00A76A7E" w:rsidP="005E4779">
      <w:pPr>
        <w:spacing w:after="0" w:line="240" w:lineRule="auto"/>
        <w:jc w:val="both"/>
        <w:rPr>
          <w:sz w:val="28"/>
          <w:szCs w:val="28"/>
        </w:rPr>
      </w:pPr>
    </w:p>
    <w:p w:rsidR="00A76A7E" w:rsidRDefault="00A76A7E" w:rsidP="005E4779">
      <w:pPr>
        <w:spacing w:after="0" w:line="240" w:lineRule="auto"/>
        <w:jc w:val="both"/>
        <w:rPr>
          <w:sz w:val="28"/>
          <w:szCs w:val="28"/>
        </w:rPr>
      </w:pPr>
    </w:p>
    <w:p w:rsidR="00A76A7E" w:rsidRDefault="00A76A7E" w:rsidP="005E4779">
      <w:pPr>
        <w:spacing w:after="0" w:line="240" w:lineRule="auto"/>
        <w:jc w:val="both"/>
        <w:rPr>
          <w:sz w:val="28"/>
          <w:szCs w:val="28"/>
        </w:rPr>
      </w:pPr>
    </w:p>
    <w:p w:rsidR="00A76A7E" w:rsidRDefault="00A76A7E" w:rsidP="005E4779">
      <w:pPr>
        <w:spacing w:after="0" w:line="240" w:lineRule="auto"/>
        <w:jc w:val="both"/>
        <w:rPr>
          <w:sz w:val="28"/>
          <w:szCs w:val="28"/>
        </w:rPr>
      </w:pPr>
    </w:p>
    <w:p w:rsidR="00A76A7E" w:rsidRDefault="00A76A7E" w:rsidP="005E4779">
      <w:pPr>
        <w:spacing w:after="0" w:line="240" w:lineRule="auto"/>
        <w:jc w:val="both"/>
        <w:rPr>
          <w:sz w:val="28"/>
          <w:szCs w:val="28"/>
        </w:rPr>
      </w:pPr>
    </w:p>
    <w:p w:rsidR="00A76A7E" w:rsidRDefault="00A76A7E" w:rsidP="005E4779">
      <w:pPr>
        <w:spacing w:after="0" w:line="240" w:lineRule="auto"/>
        <w:jc w:val="both"/>
        <w:rPr>
          <w:sz w:val="28"/>
          <w:szCs w:val="28"/>
        </w:rPr>
      </w:pPr>
    </w:p>
    <w:p w:rsidR="00BC5AC3" w:rsidRDefault="000A6325" w:rsidP="005E4779">
      <w:pPr>
        <w:spacing w:after="0" w:line="240" w:lineRule="auto"/>
        <w:jc w:val="both"/>
        <w:rPr>
          <w:sz w:val="28"/>
          <w:szCs w:val="28"/>
        </w:rPr>
      </w:pPr>
      <w:r>
        <w:rPr>
          <w:sz w:val="28"/>
          <w:szCs w:val="28"/>
        </w:rPr>
        <w:t xml:space="preserve">BILJEŠKE UZ </w:t>
      </w:r>
      <w:r w:rsidR="00114338" w:rsidRPr="00FA5DD5">
        <w:rPr>
          <w:sz w:val="28"/>
          <w:szCs w:val="28"/>
        </w:rPr>
        <w:t>IZVJEŠTAJ O PRIHODIMA I RASHODIMA</w:t>
      </w:r>
    </w:p>
    <w:p w:rsidR="00360207" w:rsidRDefault="00360207" w:rsidP="005E4779">
      <w:pPr>
        <w:spacing w:after="0" w:line="240" w:lineRule="auto"/>
        <w:jc w:val="both"/>
        <w:rPr>
          <w:sz w:val="28"/>
          <w:szCs w:val="28"/>
        </w:rPr>
      </w:pPr>
    </w:p>
    <w:p w:rsidR="00114338" w:rsidRPr="00174EF8" w:rsidRDefault="00114338" w:rsidP="005E4779">
      <w:pPr>
        <w:autoSpaceDE w:val="0"/>
        <w:autoSpaceDN w:val="0"/>
        <w:adjustRightInd w:val="0"/>
        <w:spacing w:after="0" w:line="240" w:lineRule="auto"/>
        <w:jc w:val="both"/>
        <w:rPr>
          <w:rFonts w:cstheme="minorHAnsi"/>
        </w:rPr>
      </w:pPr>
      <w:r w:rsidRPr="00174EF8">
        <w:rPr>
          <w:rFonts w:cstheme="minorHAnsi"/>
          <w:b/>
          <w:bCs/>
        </w:rPr>
        <w:t>Ukupni prihodi i primici (AOP 6</w:t>
      </w:r>
      <w:r w:rsidR="00D9558D" w:rsidRPr="00174EF8">
        <w:rPr>
          <w:rFonts w:cstheme="minorHAnsi"/>
          <w:b/>
          <w:bCs/>
        </w:rPr>
        <w:t>29</w:t>
      </w:r>
      <w:r w:rsidRPr="00174EF8">
        <w:rPr>
          <w:rFonts w:cstheme="minorHAnsi"/>
          <w:b/>
          <w:bCs/>
        </w:rPr>
        <w:t xml:space="preserve">) </w:t>
      </w:r>
      <w:r w:rsidRPr="00174EF8">
        <w:rPr>
          <w:rFonts w:cstheme="minorHAnsi"/>
        </w:rPr>
        <w:t xml:space="preserve">ostvareni su u izvještajnom razdoblju u iznosu od </w:t>
      </w:r>
      <w:r w:rsidR="00174EF8" w:rsidRPr="00174EF8">
        <w:rPr>
          <w:rFonts w:cstheme="minorHAnsi"/>
        </w:rPr>
        <w:t>8.667.680.813</w:t>
      </w:r>
      <w:r w:rsidR="006169B2" w:rsidRPr="00174EF8">
        <w:rPr>
          <w:rFonts w:cstheme="minorHAnsi"/>
        </w:rPr>
        <w:t xml:space="preserve"> </w:t>
      </w:r>
      <w:r w:rsidRPr="00174EF8">
        <w:rPr>
          <w:rFonts w:cstheme="minorHAnsi"/>
        </w:rPr>
        <w:t xml:space="preserve">kn ili </w:t>
      </w:r>
      <w:r w:rsidR="00174EF8" w:rsidRPr="00174EF8">
        <w:rPr>
          <w:rFonts w:cstheme="minorHAnsi"/>
        </w:rPr>
        <w:t>5</w:t>
      </w:r>
      <w:r w:rsidRPr="00174EF8">
        <w:rPr>
          <w:rFonts w:cstheme="minorHAnsi"/>
        </w:rPr>
        <w:t>%.</w:t>
      </w:r>
    </w:p>
    <w:p w:rsidR="00114338" w:rsidRPr="00174EF8" w:rsidRDefault="00114338" w:rsidP="005E4779">
      <w:pPr>
        <w:autoSpaceDE w:val="0"/>
        <w:autoSpaceDN w:val="0"/>
        <w:adjustRightInd w:val="0"/>
        <w:spacing w:after="0" w:line="240" w:lineRule="auto"/>
        <w:jc w:val="both"/>
        <w:rPr>
          <w:rFonts w:cstheme="minorHAnsi"/>
        </w:rPr>
      </w:pPr>
      <w:r w:rsidRPr="00174EF8">
        <w:rPr>
          <w:rFonts w:cstheme="minorHAnsi"/>
          <w:b/>
          <w:bCs/>
        </w:rPr>
        <w:t xml:space="preserve">Ukupni rashodi i izdaci </w:t>
      </w:r>
      <w:r w:rsidRPr="00174EF8">
        <w:rPr>
          <w:rFonts w:cstheme="minorHAnsi"/>
        </w:rPr>
        <w:t>(AOP 63</w:t>
      </w:r>
      <w:r w:rsidR="00D9558D" w:rsidRPr="00174EF8">
        <w:rPr>
          <w:rFonts w:cstheme="minorHAnsi"/>
        </w:rPr>
        <w:t>0</w:t>
      </w:r>
      <w:r w:rsidRPr="00174EF8">
        <w:rPr>
          <w:rFonts w:cstheme="minorHAnsi"/>
        </w:rPr>
        <w:t xml:space="preserve">) ostvareni su u istom razdoblju u iznosu od </w:t>
      </w:r>
      <w:r w:rsidR="006169B2" w:rsidRPr="00174EF8">
        <w:rPr>
          <w:rFonts w:cstheme="minorHAnsi"/>
        </w:rPr>
        <w:t>8.</w:t>
      </w:r>
      <w:r w:rsidR="00174EF8" w:rsidRPr="00174EF8">
        <w:rPr>
          <w:rFonts w:cstheme="minorHAnsi"/>
        </w:rPr>
        <w:t>544.559.096</w:t>
      </w:r>
      <w:r w:rsidRPr="00174EF8">
        <w:rPr>
          <w:rFonts w:cstheme="minorHAnsi"/>
        </w:rPr>
        <w:t xml:space="preserve"> kn. U</w:t>
      </w:r>
    </w:p>
    <w:p w:rsidR="00114338" w:rsidRPr="00174EF8" w:rsidRDefault="00114338" w:rsidP="005E4779">
      <w:pPr>
        <w:autoSpaceDE w:val="0"/>
        <w:autoSpaceDN w:val="0"/>
        <w:adjustRightInd w:val="0"/>
        <w:spacing w:after="0" w:line="240" w:lineRule="auto"/>
        <w:jc w:val="both"/>
        <w:rPr>
          <w:rFonts w:cstheme="minorHAnsi"/>
        </w:rPr>
      </w:pPr>
      <w:r w:rsidRPr="00174EF8">
        <w:rPr>
          <w:rFonts w:cstheme="minorHAnsi"/>
        </w:rPr>
        <w:t>odnosu na prethodn</w:t>
      </w:r>
      <w:r w:rsidR="006169B2" w:rsidRPr="00174EF8">
        <w:rPr>
          <w:rFonts w:cstheme="minorHAnsi"/>
        </w:rPr>
        <w:t>u</w:t>
      </w:r>
      <w:r w:rsidRPr="00174EF8">
        <w:rPr>
          <w:rFonts w:cstheme="minorHAnsi"/>
        </w:rPr>
        <w:t xml:space="preserve"> godin</w:t>
      </w:r>
      <w:r w:rsidR="006169B2" w:rsidRPr="00174EF8">
        <w:rPr>
          <w:rFonts w:cstheme="minorHAnsi"/>
        </w:rPr>
        <w:t>u</w:t>
      </w:r>
      <w:r w:rsidRPr="00174EF8">
        <w:rPr>
          <w:rFonts w:cstheme="minorHAnsi"/>
        </w:rPr>
        <w:t xml:space="preserve"> </w:t>
      </w:r>
      <w:r w:rsidR="00174EF8" w:rsidRPr="00174EF8">
        <w:rPr>
          <w:rFonts w:cstheme="minorHAnsi"/>
        </w:rPr>
        <w:t>manji</w:t>
      </w:r>
      <w:r w:rsidRPr="00174EF8">
        <w:rPr>
          <w:rFonts w:cstheme="minorHAnsi"/>
        </w:rPr>
        <w:t xml:space="preserve"> su za </w:t>
      </w:r>
      <w:r w:rsidR="006169B2" w:rsidRPr="00174EF8">
        <w:rPr>
          <w:rFonts w:cstheme="minorHAnsi"/>
        </w:rPr>
        <w:t>1</w:t>
      </w:r>
      <w:r w:rsidRPr="00174EF8">
        <w:rPr>
          <w:rFonts w:cstheme="minorHAnsi"/>
        </w:rPr>
        <w:t>%.</w:t>
      </w:r>
    </w:p>
    <w:p w:rsidR="00114338" w:rsidRPr="0079684E" w:rsidRDefault="00114338" w:rsidP="005E4779">
      <w:pPr>
        <w:autoSpaceDE w:val="0"/>
        <w:autoSpaceDN w:val="0"/>
        <w:adjustRightInd w:val="0"/>
        <w:spacing w:after="0" w:line="240" w:lineRule="auto"/>
        <w:jc w:val="both"/>
        <w:rPr>
          <w:rFonts w:cstheme="minorHAnsi"/>
          <w:color w:val="FF0000"/>
        </w:rPr>
      </w:pPr>
    </w:p>
    <w:p w:rsidR="00114338" w:rsidRPr="0079684E" w:rsidRDefault="00114338" w:rsidP="005E4779">
      <w:pPr>
        <w:autoSpaceDE w:val="0"/>
        <w:autoSpaceDN w:val="0"/>
        <w:adjustRightInd w:val="0"/>
        <w:spacing w:after="0" w:line="240" w:lineRule="auto"/>
        <w:jc w:val="both"/>
        <w:rPr>
          <w:rFonts w:cstheme="minorHAnsi"/>
          <w:color w:val="FF0000"/>
        </w:rPr>
      </w:pPr>
      <w:bookmarkStart w:id="0" w:name="_Hlk967417"/>
      <w:r w:rsidRPr="003D5D72">
        <w:rPr>
          <w:rFonts w:cstheme="minorHAnsi"/>
        </w:rPr>
        <w:t>Tablica 1. Ukupni prihodi i rashodi, primici i izdaci 20</w:t>
      </w:r>
      <w:r w:rsidR="003D5D72" w:rsidRPr="003D5D72">
        <w:rPr>
          <w:rFonts w:cstheme="minorHAnsi"/>
        </w:rPr>
        <w:t>20</w:t>
      </w:r>
      <w:r w:rsidRPr="003D5D72">
        <w:rPr>
          <w:rFonts w:cstheme="minorHAnsi"/>
        </w:rPr>
        <w:t>.god</w:t>
      </w:r>
      <w:r w:rsidRPr="0079684E">
        <w:rPr>
          <w:rFonts w:cstheme="minorHAnsi"/>
          <w:color w:val="FF0000"/>
        </w:rPr>
        <w:t xml:space="preserve">. </w:t>
      </w:r>
    </w:p>
    <w:p w:rsidR="00515A54" w:rsidRPr="0079684E" w:rsidRDefault="00515A54" w:rsidP="005E4779">
      <w:pPr>
        <w:autoSpaceDE w:val="0"/>
        <w:autoSpaceDN w:val="0"/>
        <w:adjustRightInd w:val="0"/>
        <w:spacing w:after="0" w:line="240" w:lineRule="auto"/>
        <w:jc w:val="both"/>
        <w:rPr>
          <w:rFonts w:cstheme="minorHAnsi"/>
          <w:color w:val="FF0000"/>
        </w:rPr>
      </w:pPr>
    </w:p>
    <w:tbl>
      <w:tblPr>
        <w:tblStyle w:val="TableGrid"/>
        <w:tblW w:w="0" w:type="auto"/>
        <w:tblLook w:val="04A0" w:firstRow="1" w:lastRow="0" w:firstColumn="1" w:lastColumn="0" w:noHBand="0" w:noVBand="1"/>
      </w:tblPr>
      <w:tblGrid>
        <w:gridCol w:w="651"/>
        <w:gridCol w:w="3030"/>
        <w:gridCol w:w="533"/>
        <w:gridCol w:w="1533"/>
        <w:gridCol w:w="1565"/>
        <w:gridCol w:w="700"/>
      </w:tblGrid>
      <w:tr w:rsidR="0079684E" w:rsidRPr="0079684E" w:rsidTr="009F3D0C">
        <w:trPr>
          <w:trHeight w:val="416"/>
        </w:trPr>
        <w:tc>
          <w:tcPr>
            <w:tcW w:w="651" w:type="dxa"/>
            <w:shd w:val="clear" w:color="auto" w:fill="BDD6EE" w:themeFill="accent1" w:themeFillTint="66"/>
            <w:noWrap/>
            <w:vAlign w:val="center"/>
            <w:hideMark/>
          </w:tcPr>
          <w:p w:rsidR="00D9558D" w:rsidRPr="00174EF8" w:rsidRDefault="00D9558D" w:rsidP="005E4779">
            <w:pPr>
              <w:autoSpaceDE w:val="0"/>
              <w:autoSpaceDN w:val="0"/>
              <w:adjustRightInd w:val="0"/>
              <w:jc w:val="center"/>
              <w:rPr>
                <w:rFonts w:cstheme="minorHAnsi"/>
                <w:sz w:val="16"/>
                <w:szCs w:val="16"/>
              </w:rPr>
            </w:pPr>
            <w:r w:rsidRPr="00174EF8">
              <w:rPr>
                <w:rFonts w:cstheme="minorHAnsi"/>
                <w:sz w:val="16"/>
                <w:szCs w:val="16"/>
              </w:rPr>
              <w:t>Račun</w:t>
            </w:r>
          </w:p>
        </w:tc>
        <w:tc>
          <w:tcPr>
            <w:tcW w:w="3030" w:type="dxa"/>
            <w:shd w:val="clear" w:color="auto" w:fill="BDD6EE" w:themeFill="accent1" w:themeFillTint="66"/>
            <w:noWrap/>
            <w:vAlign w:val="center"/>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OPIS</w:t>
            </w:r>
          </w:p>
        </w:tc>
        <w:tc>
          <w:tcPr>
            <w:tcW w:w="307" w:type="dxa"/>
            <w:shd w:val="clear" w:color="auto" w:fill="BDD6EE" w:themeFill="accent1" w:themeFillTint="66"/>
            <w:noWrap/>
            <w:vAlign w:val="center"/>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AOP</w:t>
            </w:r>
          </w:p>
        </w:tc>
        <w:tc>
          <w:tcPr>
            <w:tcW w:w="1533" w:type="dxa"/>
            <w:shd w:val="clear" w:color="auto" w:fill="BDD6EE" w:themeFill="accent1" w:themeFillTint="66"/>
            <w:vAlign w:val="center"/>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Ostvareno prethodne godine</w:t>
            </w:r>
          </w:p>
        </w:tc>
        <w:tc>
          <w:tcPr>
            <w:tcW w:w="1565" w:type="dxa"/>
            <w:shd w:val="clear" w:color="auto" w:fill="BDD6EE" w:themeFill="accent1" w:themeFillTint="66"/>
            <w:vAlign w:val="center"/>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Ostvareno u tekućem razdoblju</w:t>
            </w:r>
          </w:p>
        </w:tc>
        <w:tc>
          <w:tcPr>
            <w:tcW w:w="700" w:type="dxa"/>
            <w:shd w:val="clear" w:color="auto" w:fill="BDD6EE" w:themeFill="accent1" w:themeFillTint="66"/>
            <w:noWrap/>
            <w:vAlign w:val="center"/>
            <w:hideMark/>
          </w:tcPr>
          <w:p w:rsidR="00D9558D" w:rsidRPr="00174EF8" w:rsidRDefault="00D9558D" w:rsidP="005E4779">
            <w:pPr>
              <w:autoSpaceDE w:val="0"/>
              <w:autoSpaceDN w:val="0"/>
              <w:adjustRightInd w:val="0"/>
              <w:jc w:val="center"/>
              <w:rPr>
                <w:rFonts w:cstheme="minorHAnsi"/>
                <w:sz w:val="16"/>
                <w:szCs w:val="16"/>
              </w:rPr>
            </w:pPr>
            <w:r w:rsidRPr="00174EF8">
              <w:rPr>
                <w:rFonts w:cstheme="minorHAnsi"/>
                <w:sz w:val="16"/>
                <w:szCs w:val="16"/>
              </w:rPr>
              <w:t>INDEKS</w:t>
            </w:r>
          </w:p>
        </w:tc>
      </w:tr>
      <w:tr w:rsidR="0079684E" w:rsidRPr="0079684E" w:rsidTr="009F3D0C">
        <w:trPr>
          <w:trHeight w:val="210"/>
        </w:trPr>
        <w:tc>
          <w:tcPr>
            <w:tcW w:w="651" w:type="dxa"/>
            <w:shd w:val="clear" w:color="auto" w:fill="BDD6EE" w:themeFill="accent1" w:themeFillTint="66"/>
            <w:noWrap/>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1</w:t>
            </w:r>
          </w:p>
        </w:tc>
        <w:tc>
          <w:tcPr>
            <w:tcW w:w="3030" w:type="dxa"/>
            <w:shd w:val="clear" w:color="auto" w:fill="BDD6EE" w:themeFill="accent1" w:themeFillTint="66"/>
            <w:noWrap/>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2</w:t>
            </w:r>
          </w:p>
        </w:tc>
        <w:tc>
          <w:tcPr>
            <w:tcW w:w="307" w:type="dxa"/>
            <w:shd w:val="clear" w:color="auto" w:fill="BDD6EE" w:themeFill="accent1" w:themeFillTint="66"/>
            <w:noWrap/>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3</w:t>
            </w:r>
          </w:p>
        </w:tc>
        <w:tc>
          <w:tcPr>
            <w:tcW w:w="1533" w:type="dxa"/>
            <w:shd w:val="clear" w:color="auto" w:fill="BDD6EE" w:themeFill="accent1" w:themeFillTint="66"/>
            <w:noWrap/>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4</w:t>
            </w:r>
          </w:p>
        </w:tc>
        <w:tc>
          <w:tcPr>
            <w:tcW w:w="1565" w:type="dxa"/>
            <w:shd w:val="clear" w:color="auto" w:fill="BDD6EE" w:themeFill="accent1" w:themeFillTint="66"/>
            <w:noWrap/>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5</w:t>
            </w:r>
          </w:p>
        </w:tc>
        <w:tc>
          <w:tcPr>
            <w:tcW w:w="700" w:type="dxa"/>
            <w:shd w:val="clear" w:color="auto" w:fill="BDD6EE" w:themeFill="accent1" w:themeFillTint="66"/>
            <w:noWrap/>
            <w:hideMark/>
          </w:tcPr>
          <w:p w:rsidR="00D9558D" w:rsidRPr="00174EF8" w:rsidRDefault="00D9558D" w:rsidP="005E4779">
            <w:pPr>
              <w:autoSpaceDE w:val="0"/>
              <w:autoSpaceDN w:val="0"/>
              <w:adjustRightInd w:val="0"/>
              <w:jc w:val="center"/>
              <w:rPr>
                <w:rFonts w:cstheme="minorHAnsi"/>
                <w:sz w:val="18"/>
                <w:szCs w:val="18"/>
              </w:rPr>
            </w:pPr>
            <w:r w:rsidRPr="00174EF8">
              <w:rPr>
                <w:rFonts w:cstheme="minorHAnsi"/>
                <w:sz w:val="18"/>
                <w:szCs w:val="18"/>
              </w:rPr>
              <w:t>6</w:t>
            </w:r>
          </w:p>
        </w:tc>
      </w:tr>
      <w:tr w:rsidR="0079684E" w:rsidRPr="0079684E" w:rsidTr="009A2B8A">
        <w:trPr>
          <w:trHeight w:val="555"/>
        </w:trPr>
        <w:tc>
          <w:tcPr>
            <w:tcW w:w="651"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6</w:t>
            </w:r>
          </w:p>
        </w:tc>
        <w:tc>
          <w:tcPr>
            <w:tcW w:w="3030"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PRIHODI POSLOVANJA</w:t>
            </w:r>
          </w:p>
        </w:tc>
        <w:tc>
          <w:tcPr>
            <w:tcW w:w="307"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001</w:t>
            </w:r>
          </w:p>
        </w:tc>
        <w:tc>
          <w:tcPr>
            <w:tcW w:w="1533" w:type="dxa"/>
            <w:noWrap/>
            <w:vAlign w:val="center"/>
          </w:tcPr>
          <w:p w:rsidR="00D9558D" w:rsidRPr="00174EF8" w:rsidRDefault="00DC4E5C" w:rsidP="005E4779">
            <w:pPr>
              <w:autoSpaceDE w:val="0"/>
              <w:autoSpaceDN w:val="0"/>
              <w:adjustRightInd w:val="0"/>
              <w:jc w:val="center"/>
              <w:rPr>
                <w:rFonts w:cstheme="minorHAnsi"/>
                <w:sz w:val="18"/>
                <w:szCs w:val="18"/>
              </w:rPr>
            </w:pPr>
            <w:r w:rsidRPr="00174EF8">
              <w:rPr>
                <w:rFonts w:cstheme="minorHAnsi"/>
                <w:sz w:val="18"/>
                <w:szCs w:val="18"/>
              </w:rPr>
              <w:t>7.471.138.346</w:t>
            </w:r>
          </w:p>
        </w:tc>
        <w:tc>
          <w:tcPr>
            <w:tcW w:w="1565"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7.153.820.105</w:t>
            </w:r>
          </w:p>
        </w:tc>
        <w:tc>
          <w:tcPr>
            <w:tcW w:w="700"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96</w:t>
            </w:r>
          </w:p>
        </w:tc>
      </w:tr>
      <w:tr w:rsidR="0079684E" w:rsidRPr="0079684E" w:rsidTr="009A2B8A">
        <w:trPr>
          <w:trHeight w:val="555"/>
        </w:trPr>
        <w:tc>
          <w:tcPr>
            <w:tcW w:w="651"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7</w:t>
            </w:r>
          </w:p>
        </w:tc>
        <w:tc>
          <w:tcPr>
            <w:tcW w:w="3030" w:type="dxa"/>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PRIHOD OD PRODAJE NEFINANCIJSKE IMOVINE</w:t>
            </w:r>
          </w:p>
        </w:tc>
        <w:tc>
          <w:tcPr>
            <w:tcW w:w="307"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289</w:t>
            </w:r>
          </w:p>
        </w:tc>
        <w:tc>
          <w:tcPr>
            <w:tcW w:w="1533"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157.571.612</w:t>
            </w:r>
          </w:p>
        </w:tc>
        <w:tc>
          <w:tcPr>
            <w:tcW w:w="1565"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177.313.385</w:t>
            </w:r>
          </w:p>
        </w:tc>
        <w:tc>
          <w:tcPr>
            <w:tcW w:w="700"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113</w:t>
            </w:r>
          </w:p>
        </w:tc>
      </w:tr>
      <w:tr w:rsidR="0079684E" w:rsidRPr="0079684E" w:rsidTr="009A2B8A">
        <w:trPr>
          <w:trHeight w:val="555"/>
        </w:trPr>
        <w:tc>
          <w:tcPr>
            <w:tcW w:w="651"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8</w:t>
            </w:r>
          </w:p>
        </w:tc>
        <w:tc>
          <w:tcPr>
            <w:tcW w:w="3030" w:type="dxa"/>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PRIMICI OD FINAN IMOVINE I ZADUŽIVANJA</w:t>
            </w:r>
          </w:p>
        </w:tc>
        <w:tc>
          <w:tcPr>
            <w:tcW w:w="307"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410</w:t>
            </w:r>
          </w:p>
        </w:tc>
        <w:tc>
          <w:tcPr>
            <w:tcW w:w="1533"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592.779.760</w:t>
            </w:r>
          </w:p>
        </w:tc>
        <w:tc>
          <w:tcPr>
            <w:tcW w:w="1565"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1.336.547.323</w:t>
            </w:r>
          </w:p>
        </w:tc>
        <w:tc>
          <w:tcPr>
            <w:tcW w:w="700"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225</w:t>
            </w:r>
          </w:p>
        </w:tc>
      </w:tr>
      <w:tr w:rsidR="0079684E" w:rsidRPr="0079684E" w:rsidTr="009A2B8A">
        <w:trPr>
          <w:trHeight w:val="540"/>
        </w:trPr>
        <w:tc>
          <w:tcPr>
            <w:tcW w:w="651"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p>
        </w:tc>
        <w:tc>
          <w:tcPr>
            <w:tcW w:w="3030"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UKUPNI PRIHODI I PRIMICI</w:t>
            </w:r>
          </w:p>
        </w:tc>
        <w:tc>
          <w:tcPr>
            <w:tcW w:w="307"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629</w:t>
            </w:r>
          </w:p>
        </w:tc>
        <w:tc>
          <w:tcPr>
            <w:tcW w:w="1533" w:type="dxa"/>
            <w:shd w:val="clear" w:color="auto" w:fill="BDD6EE" w:themeFill="accent1" w:themeFillTint="66"/>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8.221.489.718</w:t>
            </w:r>
          </w:p>
        </w:tc>
        <w:tc>
          <w:tcPr>
            <w:tcW w:w="1565" w:type="dxa"/>
            <w:shd w:val="clear" w:color="auto" w:fill="BDD6EE" w:themeFill="accent1" w:themeFillTint="66"/>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8.667.680.813</w:t>
            </w:r>
          </w:p>
        </w:tc>
        <w:tc>
          <w:tcPr>
            <w:tcW w:w="700" w:type="dxa"/>
            <w:shd w:val="clear" w:color="auto" w:fill="BDD6EE" w:themeFill="accent1" w:themeFillTint="66"/>
            <w:noWrap/>
            <w:vAlign w:val="center"/>
          </w:tcPr>
          <w:p w:rsidR="00D9558D" w:rsidRPr="00174EF8" w:rsidRDefault="00FD3BB3" w:rsidP="005E4779">
            <w:pPr>
              <w:autoSpaceDE w:val="0"/>
              <w:autoSpaceDN w:val="0"/>
              <w:adjustRightInd w:val="0"/>
              <w:jc w:val="center"/>
              <w:rPr>
                <w:rFonts w:cstheme="minorHAnsi"/>
                <w:sz w:val="18"/>
                <w:szCs w:val="18"/>
              </w:rPr>
            </w:pPr>
            <w:r w:rsidRPr="00174EF8">
              <w:rPr>
                <w:rFonts w:cstheme="minorHAnsi"/>
                <w:sz w:val="18"/>
                <w:szCs w:val="18"/>
              </w:rPr>
              <w:t>10</w:t>
            </w:r>
            <w:r w:rsidR="00174EF8" w:rsidRPr="00174EF8">
              <w:rPr>
                <w:rFonts w:cstheme="minorHAnsi"/>
                <w:sz w:val="18"/>
                <w:szCs w:val="18"/>
              </w:rPr>
              <w:t>5</w:t>
            </w:r>
          </w:p>
        </w:tc>
      </w:tr>
      <w:tr w:rsidR="0079684E" w:rsidRPr="0079684E" w:rsidTr="009A2B8A">
        <w:trPr>
          <w:trHeight w:val="555"/>
        </w:trPr>
        <w:tc>
          <w:tcPr>
            <w:tcW w:w="651"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3</w:t>
            </w:r>
          </w:p>
        </w:tc>
        <w:tc>
          <w:tcPr>
            <w:tcW w:w="3030"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RASHODI POSLOVANJA</w:t>
            </w:r>
          </w:p>
        </w:tc>
        <w:tc>
          <w:tcPr>
            <w:tcW w:w="307"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148</w:t>
            </w:r>
          </w:p>
        </w:tc>
        <w:tc>
          <w:tcPr>
            <w:tcW w:w="1533"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7.077.073.286</w:t>
            </w:r>
          </w:p>
        </w:tc>
        <w:tc>
          <w:tcPr>
            <w:tcW w:w="1565"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7.125.093.225</w:t>
            </w:r>
          </w:p>
        </w:tc>
        <w:tc>
          <w:tcPr>
            <w:tcW w:w="700"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101</w:t>
            </w:r>
          </w:p>
        </w:tc>
      </w:tr>
      <w:tr w:rsidR="0079684E" w:rsidRPr="0079684E" w:rsidTr="009A2B8A">
        <w:trPr>
          <w:trHeight w:val="555"/>
        </w:trPr>
        <w:tc>
          <w:tcPr>
            <w:tcW w:w="651"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4</w:t>
            </w:r>
          </w:p>
        </w:tc>
        <w:tc>
          <w:tcPr>
            <w:tcW w:w="3030" w:type="dxa"/>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RASHODI ZA NABAVU NEFINANCIJSKE IMOVINE</w:t>
            </w:r>
          </w:p>
        </w:tc>
        <w:tc>
          <w:tcPr>
            <w:tcW w:w="307"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341</w:t>
            </w:r>
          </w:p>
        </w:tc>
        <w:tc>
          <w:tcPr>
            <w:tcW w:w="1533"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1.005.242.613</w:t>
            </w:r>
          </w:p>
        </w:tc>
        <w:tc>
          <w:tcPr>
            <w:tcW w:w="1565"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737.203.463</w:t>
            </w:r>
          </w:p>
        </w:tc>
        <w:tc>
          <w:tcPr>
            <w:tcW w:w="700"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73</w:t>
            </w:r>
          </w:p>
        </w:tc>
      </w:tr>
      <w:tr w:rsidR="0079684E" w:rsidRPr="0079684E" w:rsidTr="009A2B8A">
        <w:trPr>
          <w:trHeight w:val="555"/>
        </w:trPr>
        <w:tc>
          <w:tcPr>
            <w:tcW w:w="651"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5</w:t>
            </w:r>
          </w:p>
        </w:tc>
        <w:tc>
          <w:tcPr>
            <w:tcW w:w="3030" w:type="dxa"/>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IZDACI ZA FINANCIJSKU IMOVINU I OTPLATE ZAJMOVA</w:t>
            </w:r>
          </w:p>
        </w:tc>
        <w:tc>
          <w:tcPr>
            <w:tcW w:w="307"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518</w:t>
            </w:r>
          </w:p>
        </w:tc>
        <w:tc>
          <w:tcPr>
            <w:tcW w:w="1533"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550.943.324</w:t>
            </w:r>
          </w:p>
        </w:tc>
        <w:tc>
          <w:tcPr>
            <w:tcW w:w="1565"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682.262.408</w:t>
            </w:r>
          </w:p>
        </w:tc>
        <w:tc>
          <w:tcPr>
            <w:tcW w:w="700" w:type="dxa"/>
            <w:noWrap/>
            <w:vAlign w:val="center"/>
          </w:tcPr>
          <w:p w:rsidR="00D9558D" w:rsidRPr="00174EF8" w:rsidRDefault="006169B2" w:rsidP="005E4779">
            <w:pPr>
              <w:autoSpaceDE w:val="0"/>
              <w:autoSpaceDN w:val="0"/>
              <w:adjustRightInd w:val="0"/>
              <w:jc w:val="center"/>
              <w:rPr>
                <w:rFonts w:cstheme="minorHAnsi"/>
                <w:sz w:val="18"/>
                <w:szCs w:val="18"/>
              </w:rPr>
            </w:pPr>
            <w:r w:rsidRPr="00174EF8">
              <w:rPr>
                <w:rFonts w:cstheme="minorHAnsi"/>
                <w:sz w:val="18"/>
                <w:szCs w:val="18"/>
              </w:rPr>
              <w:t>1</w:t>
            </w:r>
            <w:r w:rsidR="00174EF8" w:rsidRPr="00174EF8">
              <w:rPr>
                <w:rFonts w:cstheme="minorHAnsi"/>
                <w:sz w:val="18"/>
                <w:szCs w:val="18"/>
              </w:rPr>
              <w:t>24</w:t>
            </w:r>
          </w:p>
        </w:tc>
      </w:tr>
      <w:tr w:rsidR="0079684E" w:rsidRPr="0079684E" w:rsidTr="009A2B8A">
        <w:trPr>
          <w:trHeight w:val="570"/>
        </w:trPr>
        <w:tc>
          <w:tcPr>
            <w:tcW w:w="651"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p>
        </w:tc>
        <w:tc>
          <w:tcPr>
            <w:tcW w:w="3030"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UKUPNI RASHODI I IZDACI</w:t>
            </w:r>
          </w:p>
        </w:tc>
        <w:tc>
          <w:tcPr>
            <w:tcW w:w="307"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630</w:t>
            </w:r>
          </w:p>
        </w:tc>
        <w:tc>
          <w:tcPr>
            <w:tcW w:w="1533" w:type="dxa"/>
            <w:shd w:val="clear" w:color="auto" w:fill="BDD6EE" w:themeFill="accent1" w:themeFillTint="66"/>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8.633.259.223</w:t>
            </w:r>
          </w:p>
        </w:tc>
        <w:tc>
          <w:tcPr>
            <w:tcW w:w="1565" w:type="dxa"/>
            <w:shd w:val="clear" w:color="auto" w:fill="BDD6EE" w:themeFill="accent1" w:themeFillTint="66"/>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8.544.559.096</w:t>
            </w:r>
          </w:p>
        </w:tc>
        <w:tc>
          <w:tcPr>
            <w:tcW w:w="700" w:type="dxa"/>
            <w:shd w:val="clear" w:color="auto" w:fill="BDD6EE" w:themeFill="accent1" w:themeFillTint="66"/>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99</w:t>
            </w:r>
          </w:p>
        </w:tc>
      </w:tr>
      <w:tr w:rsidR="0079684E" w:rsidRPr="0079684E" w:rsidTr="009A2B8A">
        <w:trPr>
          <w:trHeight w:val="555"/>
        </w:trPr>
        <w:tc>
          <w:tcPr>
            <w:tcW w:w="651"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922</w:t>
            </w:r>
          </w:p>
        </w:tc>
        <w:tc>
          <w:tcPr>
            <w:tcW w:w="3030"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VIŠAK/MANJAK PRIHODA I PRIMITAKA</w:t>
            </w:r>
          </w:p>
        </w:tc>
        <w:tc>
          <w:tcPr>
            <w:tcW w:w="307"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632</w:t>
            </w:r>
          </w:p>
        </w:tc>
        <w:tc>
          <w:tcPr>
            <w:tcW w:w="1533"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-411.769.505</w:t>
            </w:r>
          </w:p>
        </w:tc>
        <w:tc>
          <w:tcPr>
            <w:tcW w:w="1565"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+123.121.717</w:t>
            </w:r>
          </w:p>
        </w:tc>
        <w:tc>
          <w:tcPr>
            <w:tcW w:w="700" w:type="dxa"/>
            <w:noWrap/>
            <w:vAlign w:val="center"/>
          </w:tcPr>
          <w:p w:rsidR="00D9558D" w:rsidRPr="00174EF8" w:rsidRDefault="00D9558D" w:rsidP="005E4779">
            <w:pPr>
              <w:autoSpaceDE w:val="0"/>
              <w:autoSpaceDN w:val="0"/>
              <w:adjustRightInd w:val="0"/>
              <w:jc w:val="center"/>
              <w:rPr>
                <w:rFonts w:cstheme="minorHAnsi"/>
                <w:sz w:val="18"/>
                <w:szCs w:val="18"/>
              </w:rPr>
            </w:pPr>
          </w:p>
        </w:tc>
      </w:tr>
      <w:tr w:rsidR="0079684E" w:rsidRPr="0079684E" w:rsidTr="009A2B8A">
        <w:trPr>
          <w:trHeight w:val="555"/>
        </w:trPr>
        <w:tc>
          <w:tcPr>
            <w:tcW w:w="651"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922</w:t>
            </w:r>
          </w:p>
        </w:tc>
        <w:tc>
          <w:tcPr>
            <w:tcW w:w="3030" w:type="dxa"/>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VIŠAK/MANJAK PRIHODA I PRIMITAKA PRENESENI</w:t>
            </w:r>
          </w:p>
        </w:tc>
        <w:tc>
          <w:tcPr>
            <w:tcW w:w="307" w:type="dxa"/>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634</w:t>
            </w:r>
          </w:p>
        </w:tc>
        <w:tc>
          <w:tcPr>
            <w:tcW w:w="1533"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628.950.238</w:t>
            </w:r>
          </w:p>
        </w:tc>
        <w:tc>
          <w:tcPr>
            <w:tcW w:w="1565" w:type="dxa"/>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1.040.719.743</w:t>
            </w:r>
          </w:p>
        </w:tc>
        <w:tc>
          <w:tcPr>
            <w:tcW w:w="700" w:type="dxa"/>
            <w:noWrap/>
            <w:vAlign w:val="center"/>
          </w:tcPr>
          <w:p w:rsidR="00D9558D" w:rsidRPr="00174EF8" w:rsidRDefault="00D9558D" w:rsidP="005E4779">
            <w:pPr>
              <w:autoSpaceDE w:val="0"/>
              <w:autoSpaceDN w:val="0"/>
              <w:adjustRightInd w:val="0"/>
              <w:jc w:val="center"/>
              <w:rPr>
                <w:rFonts w:cstheme="minorHAnsi"/>
                <w:sz w:val="18"/>
                <w:szCs w:val="18"/>
              </w:rPr>
            </w:pPr>
          </w:p>
        </w:tc>
      </w:tr>
      <w:tr w:rsidR="0079684E" w:rsidRPr="0079684E" w:rsidTr="009A2B8A">
        <w:trPr>
          <w:trHeight w:val="555"/>
        </w:trPr>
        <w:tc>
          <w:tcPr>
            <w:tcW w:w="651"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922</w:t>
            </w:r>
          </w:p>
        </w:tc>
        <w:tc>
          <w:tcPr>
            <w:tcW w:w="3030"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ZA POKRIĆE U SLIJEDEĆEM RAZDOBLJU</w:t>
            </w:r>
          </w:p>
        </w:tc>
        <w:tc>
          <w:tcPr>
            <w:tcW w:w="307" w:type="dxa"/>
            <w:shd w:val="clear" w:color="auto" w:fill="BDD6EE" w:themeFill="accent1" w:themeFillTint="66"/>
            <w:noWrap/>
            <w:vAlign w:val="center"/>
            <w:hideMark/>
          </w:tcPr>
          <w:p w:rsidR="00D9558D" w:rsidRPr="00174EF8" w:rsidRDefault="00D9558D" w:rsidP="005E4779">
            <w:pPr>
              <w:autoSpaceDE w:val="0"/>
              <w:autoSpaceDN w:val="0"/>
              <w:adjustRightInd w:val="0"/>
              <w:jc w:val="both"/>
              <w:rPr>
                <w:rFonts w:cstheme="minorHAnsi"/>
                <w:sz w:val="18"/>
                <w:szCs w:val="18"/>
              </w:rPr>
            </w:pPr>
            <w:r w:rsidRPr="00174EF8">
              <w:rPr>
                <w:rFonts w:cstheme="minorHAnsi"/>
                <w:sz w:val="18"/>
                <w:szCs w:val="18"/>
              </w:rPr>
              <w:t> </w:t>
            </w:r>
            <w:r w:rsidR="002F4FE7" w:rsidRPr="00174EF8">
              <w:rPr>
                <w:rFonts w:cstheme="minorHAnsi"/>
                <w:sz w:val="18"/>
                <w:szCs w:val="18"/>
              </w:rPr>
              <w:t>636</w:t>
            </w:r>
          </w:p>
        </w:tc>
        <w:tc>
          <w:tcPr>
            <w:tcW w:w="1533" w:type="dxa"/>
            <w:shd w:val="clear" w:color="auto" w:fill="BDD6EE" w:themeFill="accent1" w:themeFillTint="66"/>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1.040.719.743</w:t>
            </w:r>
          </w:p>
        </w:tc>
        <w:tc>
          <w:tcPr>
            <w:tcW w:w="1565" w:type="dxa"/>
            <w:shd w:val="clear" w:color="auto" w:fill="BDD6EE" w:themeFill="accent1" w:themeFillTint="66"/>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917.598.026</w:t>
            </w:r>
          </w:p>
        </w:tc>
        <w:tc>
          <w:tcPr>
            <w:tcW w:w="700" w:type="dxa"/>
            <w:shd w:val="clear" w:color="auto" w:fill="BDD6EE" w:themeFill="accent1" w:themeFillTint="66"/>
            <w:noWrap/>
            <w:vAlign w:val="center"/>
          </w:tcPr>
          <w:p w:rsidR="00D9558D" w:rsidRPr="00174EF8" w:rsidRDefault="00174EF8" w:rsidP="005E4779">
            <w:pPr>
              <w:autoSpaceDE w:val="0"/>
              <w:autoSpaceDN w:val="0"/>
              <w:adjustRightInd w:val="0"/>
              <w:jc w:val="center"/>
              <w:rPr>
                <w:rFonts w:cstheme="minorHAnsi"/>
                <w:sz w:val="18"/>
                <w:szCs w:val="18"/>
              </w:rPr>
            </w:pPr>
            <w:r w:rsidRPr="00174EF8">
              <w:rPr>
                <w:rFonts w:cstheme="minorHAnsi"/>
                <w:sz w:val="18"/>
                <w:szCs w:val="18"/>
              </w:rPr>
              <w:t>88</w:t>
            </w:r>
          </w:p>
        </w:tc>
      </w:tr>
      <w:bookmarkEnd w:id="0"/>
    </w:tbl>
    <w:p w:rsidR="00515A54" w:rsidRDefault="00515A54" w:rsidP="005E4779">
      <w:pPr>
        <w:autoSpaceDE w:val="0"/>
        <w:autoSpaceDN w:val="0"/>
        <w:adjustRightInd w:val="0"/>
        <w:spacing w:after="0" w:line="240" w:lineRule="auto"/>
        <w:jc w:val="both"/>
        <w:rPr>
          <w:rFonts w:cstheme="minorHAnsi"/>
          <w:sz w:val="18"/>
          <w:szCs w:val="18"/>
        </w:rPr>
      </w:pPr>
    </w:p>
    <w:p w:rsidR="00DC754E" w:rsidRDefault="00DC754E" w:rsidP="005E4779">
      <w:pPr>
        <w:autoSpaceDE w:val="0"/>
        <w:autoSpaceDN w:val="0"/>
        <w:adjustRightInd w:val="0"/>
        <w:spacing w:after="0" w:line="240" w:lineRule="auto"/>
        <w:jc w:val="both"/>
        <w:rPr>
          <w:rFonts w:cstheme="minorHAnsi"/>
          <w:b/>
          <w:u w:val="single"/>
        </w:rPr>
      </w:pPr>
    </w:p>
    <w:p w:rsidR="00DE3354" w:rsidRDefault="00DE3354" w:rsidP="005E4779">
      <w:pPr>
        <w:spacing w:after="0" w:line="240" w:lineRule="auto"/>
        <w:rPr>
          <w:rFonts w:ascii="Arial" w:hAnsi="Arial" w:cs="Arial"/>
          <w:b/>
        </w:rPr>
      </w:pPr>
    </w:p>
    <w:p w:rsidR="00DE3354" w:rsidRPr="00DE021B" w:rsidRDefault="008864EE" w:rsidP="005E4779">
      <w:pPr>
        <w:spacing w:after="0" w:line="240" w:lineRule="auto"/>
        <w:rPr>
          <w:rFonts w:cs="Arial"/>
          <w:b/>
        </w:rPr>
      </w:pPr>
      <w:r w:rsidRPr="00DE021B">
        <w:rPr>
          <w:rFonts w:cstheme="majorHAnsi"/>
          <w:b/>
          <w:u w:val="single"/>
        </w:rPr>
        <w:t>PRIHODI POSLOVANJA</w:t>
      </w:r>
    </w:p>
    <w:p w:rsidR="00DE3354" w:rsidRPr="00DE021B" w:rsidRDefault="00DE3354" w:rsidP="005E4779">
      <w:pPr>
        <w:spacing w:after="0" w:line="240" w:lineRule="auto"/>
        <w:rPr>
          <w:rFonts w:cs="Arial"/>
          <w:b/>
        </w:rPr>
      </w:pPr>
    </w:p>
    <w:p w:rsidR="0079684E" w:rsidRPr="00DE021B" w:rsidRDefault="00793852" w:rsidP="00793852">
      <w:pPr>
        <w:spacing w:line="240" w:lineRule="auto"/>
        <w:rPr>
          <w:rFonts w:cstheme="minorHAnsi"/>
          <w:b/>
        </w:rPr>
      </w:pPr>
      <w:r w:rsidRPr="00DE021B">
        <w:rPr>
          <w:rFonts w:cstheme="minorHAnsi"/>
          <w:b/>
        </w:rPr>
        <w:t xml:space="preserve">Bilješka br. 1 AOP 003 - </w:t>
      </w:r>
      <w:r w:rsidR="0079684E" w:rsidRPr="00DE021B">
        <w:rPr>
          <w:rFonts w:cstheme="minorHAnsi"/>
          <w:b/>
        </w:rPr>
        <w:t xml:space="preserve">Porez i prirez na dohodak </w:t>
      </w:r>
    </w:p>
    <w:p w:rsidR="0079684E" w:rsidRPr="00DE021B" w:rsidRDefault="0079684E" w:rsidP="0079684E">
      <w:pPr>
        <w:spacing w:line="240" w:lineRule="auto"/>
        <w:jc w:val="both"/>
        <w:rPr>
          <w:rFonts w:cstheme="minorHAnsi"/>
        </w:rPr>
      </w:pPr>
      <w:r w:rsidRPr="00DE021B">
        <w:rPr>
          <w:rFonts w:cstheme="minorHAnsi"/>
        </w:rPr>
        <w:t>Prihodi od poreza i prireza na dohodak su manji u odnosu na  prethodnu godinu kao posljedica fiskalni</w:t>
      </w:r>
      <w:r w:rsidR="001450C6" w:rsidRPr="00DE021B">
        <w:rPr>
          <w:rFonts w:cstheme="minorHAnsi"/>
        </w:rPr>
        <w:t xml:space="preserve">h učinaka poreznog rasterećenja </w:t>
      </w:r>
      <w:r w:rsidRPr="00DE021B">
        <w:rPr>
          <w:rFonts w:cstheme="minorHAnsi"/>
        </w:rPr>
        <w:t xml:space="preserve">i mjera za ublažavanje negativnih posljedica uzrokovanih </w:t>
      </w:r>
      <w:proofErr w:type="spellStart"/>
      <w:r w:rsidRPr="00DE021B">
        <w:rPr>
          <w:rFonts w:cstheme="minorHAnsi"/>
        </w:rPr>
        <w:t>koronavirusom</w:t>
      </w:r>
      <w:proofErr w:type="spellEnd"/>
      <w:r w:rsidRPr="00DE021B">
        <w:rPr>
          <w:rFonts w:cstheme="minorHAnsi"/>
        </w:rPr>
        <w:t xml:space="preserve"> i potresom kao i izmjena i dopuna Zakona o porezu na dohodak (Narodne novine 121/19) koje se primjenjuju od 1. siječnja 2020.</w:t>
      </w:r>
    </w:p>
    <w:p w:rsidR="0079684E" w:rsidRDefault="0079684E" w:rsidP="0079684E">
      <w:pPr>
        <w:spacing w:line="240" w:lineRule="auto"/>
        <w:jc w:val="both"/>
        <w:rPr>
          <w:rFonts w:cstheme="minorHAnsi"/>
        </w:rPr>
      </w:pPr>
      <w:r w:rsidRPr="004F1269">
        <w:rPr>
          <w:rFonts w:cstheme="minorHAnsi"/>
        </w:rPr>
        <w:t xml:space="preserve">Izmjenama i dopunama Zakona o porezu na dohodak povećan je osnovni osobni odbitak i utvrđene olakšice za fizičke osobe mlađe od 30 godina. </w:t>
      </w:r>
    </w:p>
    <w:p w:rsidR="00FC742D" w:rsidRPr="004F1269" w:rsidRDefault="00FC742D" w:rsidP="0079684E">
      <w:pPr>
        <w:spacing w:line="240" w:lineRule="auto"/>
        <w:jc w:val="both"/>
        <w:rPr>
          <w:rFonts w:cstheme="minorHAnsi"/>
        </w:rPr>
      </w:pPr>
    </w:p>
    <w:p w:rsidR="0079684E" w:rsidRPr="004F1269" w:rsidRDefault="0079684E" w:rsidP="0079684E">
      <w:pPr>
        <w:spacing w:line="240" w:lineRule="auto"/>
        <w:jc w:val="both"/>
        <w:rPr>
          <w:rFonts w:cstheme="minorHAnsi"/>
        </w:rPr>
      </w:pPr>
      <w:r w:rsidRPr="004F1269">
        <w:rPr>
          <w:rFonts w:cstheme="minorHAnsi"/>
        </w:rPr>
        <w:lastRenderedPageBreak/>
        <w:t>Osnovni osobni odbitak povećan je sa 3.800,00 kn na 4.000,000 kn.</w:t>
      </w:r>
    </w:p>
    <w:p w:rsidR="0079684E" w:rsidRPr="004F1269" w:rsidRDefault="0079684E" w:rsidP="0079684E">
      <w:pPr>
        <w:pStyle w:val="ListParagraph"/>
        <w:numPr>
          <w:ilvl w:val="0"/>
          <w:numId w:val="14"/>
        </w:numPr>
        <w:spacing w:after="200" w:line="240" w:lineRule="auto"/>
        <w:jc w:val="both"/>
        <w:rPr>
          <w:rFonts w:cstheme="minorHAnsi"/>
        </w:rPr>
      </w:pPr>
      <w:r w:rsidRPr="004F1269">
        <w:rPr>
          <w:rFonts w:cstheme="minorHAnsi"/>
        </w:rPr>
        <w:t>Godišnji porez na dohodak se umanjuje: fizičkim osobama do 25 godina života koje ostvare dohodak od nesamostalnog rada (plaću) i to za 100% razmjernog dijela porezne obveze obračunane na godišnju poreznu osnovicu do 360.000,00 kuna na koju se plaća porez po stopi od 24%, a koja se odnosi na dohodak od nesamostalnoga rada, fizičkim osobama </w:t>
      </w:r>
      <w:r w:rsidRPr="004F1269">
        <w:rPr>
          <w:rFonts w:cstheme="minorHAnsi"/>
          <w:bCs/>
        </w:rPr>
        <w:t>od</w:t>
      </w:r>
      <w:r w:rsidRPr="004F1269">
        <w:rPr>
          <w:rFonts w:cstheme="minorHAnsi"/>
          <w:b/>
          <w:bCs/>
        </w:rPr>
        <w:t xml:space="preserve"> </w:t>
      </w:r>
      <w:r w:rsidRPr="004F1269">
        <w:rPr>
          <w:rFonts w:cstheme="minorHAnsi"/>
        </w:rPr>
        <w:t>26 do 30 godina života koje ostvare dohodak od nesamostalnog rada (plaću)  i to za 50% razmjernog dijela porezne obveze obračunane na poreznu osnovicu do 360.000,00 kuna na koju se plaća godišnji porez po stopi od 24%, a koja se odnosi na dohodak od nesamostalnog rada. Porezna olakšica priznaje se isključivo u posebnom postupku utvrđivanja godišnjeg poreza na dohodak ili u prijavi poreza na dohodak.</w:t>
      </w:r>
    </w:p>
    <w:p w:rsidR="0079684E" w:rsidRPr="004F1269" w:rsidRDefault="0079684E" w:rsidP="0079684E">
      <w:pPr>
        <w:spacing w:line="240" w:lineRule="auto"/>
        <w:jc w:val="both"/>
        <w:rPr>
          <w:rFonts w:cstheme="minorHAnsi"/>
        </w:rPr>
      </w:pPr>
      <w:r w:rsidRPr="004F1269">
        <w:rPr>
          <w:rFonts w:cstheme="minorHAnsi"/>
        </w:rPr>
        <w:t>Za gubitak prihoda od poreza na dohodak planirana je kompenzacija u vidu pomoći iz Državnog proračuna u visini procijenjenog gubitka prihoda, a planirana je na skupini 633 Pomoći proračunu iz drugih proračuna.</w:t>
      </w:r>
    </w:p>
    <w:p w:rsidR="00793852" w:rsidRPr="004F1269" w:rsidRDefault="00793852" w:rsidP="0079684E">
      <w:pPr>
        <w:spacing w:line="240" w:lineRule="auto"/>
        <w:jc w:val="both"/>
        <w:rPr>
          <w:rFonts w:cstheme="minorHAnsi"/>
          <w:b/>
        </w:rPr>
      </w:pPr>
    </w:p>
    <w:p w:rsidR="0079684E" w:rsidRPr="004F1269" w:rsidRDefault="00793852" w:rsidP="0079684E">
      <w:pPr>
        <w:spacing w:line="240" w:lineRule="auto"/>
        <w:jc w:val="both"/>
        <w:rPr>
          <w:rFonts w:cstheme="minorHAnsi"/>
          <w:b/>
        </w:rPr>
      </w:pPr>
      <w:r w:rsidRPr="004F1269">
        <w:rPr>
          <w:rFonts w:cstheme="minorHAnsi"/>
          <w:b/>
        </w:rPr>
        <w:t>Bilješka br. 2 AOP  010 -</w:t>
      </w:r>
      <w:r w:rsidR="0079684E" w:rsidRPr="004F1269">
        <w:rPr>
          <w:rFonts w:cstheme="minorHAnsi"/>
          <w:b/>
        </w:rPr>
        <w:t>Povrat poreza i prireza po godišnjoj prijavi</w:t>
      </w:r>
    </w:p>
    <w:p w:rsidR="0079684E" w:rsidRPr="004F1269" w:rsidRDefault="0079684E" w:rsidP="0079684E">
      <w:pPr>
        <w:spacing w:line="240" w:lineRule="auto"/>
        <w:jc w:val="both"/>
        <w:rPr>
          <w:rFonts w:cstheme="minorHAnsi"/>
        </w:rPr>
      </w:pPr>
      <w:r w:rsidRPr="004F1269">
        <w:rPr>
          <w:rFonts w:cstheme="minorHAnsi"/>
        </w:rPr>
        <w:t>Povrati poreza na dohodak po godišnjoj prijavi veći su nego prethodne godine radi većeg broja podnesenih prijava za povrat.</w:t>
      </w:r>
    </w:p>
    <w:p w:rsidR="00793852" w:rsidRPr="004F1269" w:rsidRDefault="00793852" w:rsidP="0079684E">
      <w:pPr>
        <w:spacing w:line="240" w:lineRule="auto"/>
        <w:jc w:val="both"/>
        <w:rPr>
          <w:rFonts w:cstheme="minorHAnsi"/>
          <w:b/>
        </w:rPr>
      </w:pPr>
    </w:p>
    <w:p w:rsidR="0079684E" w:rsidRPr="004F1269" w:rsidRDefault="00793852" w:rsidP="0079684E">
      <w:pPr>
        <w:spacing w:line="240" w:lineRule="auto"/>
        <w:jc w:val="both"/>
        <w:rPr>
          <w:rFonts w:cstheme="minorHAnsi"/>
        </w:rPr>
      </w:pPr>
      <w:r w:rsidRPr="004F1269">
        <w:rPr>
          <w:rFonts w:cstheme="minorHAnsi"/>
          <w:b/>
        </w:rPr>
        <w:t xml:space="preserve">Bilješka br. 3 </w:t>
      </w:r>
      <w:r w:rsidR="0079684E" w:rsidRPr="004F1269">
        <w:rPr>
          <w:rFonts w:cstheme="minorHAnsi"/>
          <w:b/>
        </w:rPr>
        <w:t>AOP 020</w:t>
      </w:r>
      <w:r w:rsidRPr="004F1269">
        <w:rPr>
          <w:rFonts w:cstheme="minorHAnsi"/>
        </w:rPr>
        <w:t xml:space="preserve"> - </w:t>
      </w:r>
      <w:r w:rsidR="0079684E" w:rsidRPr="004F1269">
        <w:rPr>
          <w:rFonts w:cstheme="minorHAnsi"/>
          <w:b/>
        </w:rPr>
        <w:t>Porez na nasljedstva i darove</w:t>
      </w:r>
    </w:p>
    <w:p w:rsidR="0079684E" w:rsidRPr="004F1269" w:rsidRDefault="0079684E" w:rsidP="0079684E">
      <w:pPr>
        <w:spacing w:line="240" w:lineRule="auto"/>
        <w:jc w:val="both"/>
        <w:rPr>
          <w:rFonts w:cstheme="minorHAnsi"/>
        </w:rPr>
      </w:pPr>
      <w:r w:rsidRPr="004F1269">
        <w:rPr>
          <w:rFonts w:cstheme="minorHAnsi"/>
        </w:rPr>
        <w:t xml:space="preserve">Porez na nasljedstva i darove je manji nego prethodne godine što je vezano uz manji broj ugovora o nasljeđivanju i darovanju. </w:t>
      </w:r>
    </w:p>
    <w:p w:rsidR="00793852" w:rsidRPr="004F1269" w:rsidRDefault="00793852" w:rsidP="0079684E">
      <w:pPr>
        <w:spacing w:line="240" w:lineRule="auto"/>
        <w:jc w:val="both"/>
        <w:rPr>
          <w:rFonts w:cstheme="minorHAnsi"/>
          <w:b/>
        </w:rPr>
      </w:pPr>
    </w:p>
    <w:p w:rsidR="0079684E" w:rsidRPr="004F1269" w:rsidRDefault="00793852" w:rsidP="0079684E">
      <w:pPr>
        <w:spacing w:line="240" w:lineRule="auto"/>
        <w:jc w:val="both"/>
        <w:rPr>
          <w:rFonts w:cstheme="minorHAnsi"/>
          <w:b/>
        </w:rPr>
      </w:pPr>
      <w:r w:rsidRPr="004F1269">
        <w:rPr>
          <w:rFonts w:cstheme="minorHAnsi"/>
          <w:b/>
        </w:rPr>
        <w:t xml:space="preserve">Bilješka br. 4 AOP 022 - </w:t>
      </w:r>
      <w:r w:rsidR="0079684E" w:rsidRPr="004F1269">
        <w:rPr>
          <w:rFonts w:cstheme="minorHAnsi"/>
          <w:b/>
        </w:rPr>
        <w:t>Povremeni porezi na imovinu odnose se na porez na promet nekretnina</w:t>
      </w:r>
    </w:p>
    <w:p w:rsidR="0079684E" w:rsidRPr="004F1269" w:rsidRDefault="0079684E" w:rsidP="0079684E">
      <w:pPr>
        <w:spacing w:line="240" w:lineRule="auto"/>
        <w:jc w:val="both"/>
        <w:rPr>
          <w:rFonts w:cstheme="minorHAnsi"/>
        </w:rPr>
      </w:pPr>
      <w:r w:rsidRPr="004F1269">
        <w:rPr>
          <w:rFonts w:cstheme="minorHAnsi"/>
        </w:rPr>
        <w:t xml:space="preserve">Izvanredna epidemiološka situacija uzrokovana </w:t>
      </w:r>
      <w:proofErr w:type="spellStart"/>
      <w:r w:rsidRPr="004F1269">
        <w:rPr>
          <w:rFonts w:cstheme="minorHAnsi"/>
        </w:rPr>
        <w:t>koronavirusom</w:t>
      </w:r>
      <w:proofErr w:type="spellEnd"/>
      <w:r w:rsidRPr="004F1269">
        <w:rPr>
          <w:rFonts w:cstheme="minorHAnsi"/>
        </w:rPr>
        <w:t xml:space="preserve"> uzrokovala je usporavanje gospodarskih aktivnosti. S druge strane, potres koji je 22. ožujka pogodio Zagreb nanio je veliku materijalnu štetu, a to se sve negativno odrazilo na tržište nekretninama i rezultiralo manjim prihodima od poreza na promet nekretninama nego prethodne godine. </w:t>
      </w:r>
    </w:p>
    <w:p w:rsidR="00793852" w:rsidRPr="004F1269" w:rsidRDefault="00793852" w:rsidP="0079684E">
      <w:pPr>
        <w:spacing w:line="240" w:lineRule="auto"/>
        <w:jc w:val="both"/>
        <w:rPr>
          <w:rFonts w:cstheme="minorHAnsi"/>
          <w:b/>
        </w:rPr>
      </w:pPr>
    </w:p>
    <w:p w:rsidR="0079684E" w:rsidRPr="004F1269" w:rsidRDefault="00793852" w:rsidP="0079684E">
      <w:pPr>
        <w:spacing w:line="240" w:lineRule="auto"/>
        <w:jc w:val="both"/>
        <w:rPr>
          <w:rFonts w:cstheme="minorHAnsi"/>
          <w:b/>
        </w:rPr>
      </w:pPr>
      <w:r w:rsidRPr="004F1269">
        <w:rPr>
          <w:rFonts w:cstheme="minorHAnsi"/>
          <w:b/>
        </w:rPr>
        <w:t xml:space="preserve">Bilješka br. 5 AOP 026 - </w:t>
      </w:r>
      <w:r w:rsidR="0079684E" w:rsidRPr="004F1269">
        <w:rPr>
          <w:rFonts w:cstheme="minorHAnsi"/>
          <w:b/>
        </w:rPr>
        <w:t>Porez na promet</w:t>
      </w:r>
    </w:p>
    <w:p w:rsidR="0079684E" w:rsidRPr="004F1269" w:rsidRDefault="0079684E" w:rsidP="0079684E">
      <w:pPr>
        <w:spacing w:line="240" w:lineRule="auto"/>
        <w:jc w:val="both"/>
        <w:rPr>
          <w:rFonts w:cstheme="minorHAnsi"/>
        </w:rPr>
      </w:pPr>
      <w:r w:rsidRPr="004F1269">
        <w:rPr>
          <w:rFonts w:cstheme="minorHAnsi"/>
        </w:rPr>
        <w:t xml:space="preserve">Prihodi od poreza na promet odnose se na porez na potrošnju alkoholnih i bezalkoholnih pića u ugostiteljskim objektima ostvareni su u manjem iznosu nego prethodne godine zbog izvanredne epidemiološke situacije uzrokovane </w:t>
      </w:r>
      <w:proofErr w:type="spellStart"/>
      <w:r w:rsidRPr="004F1269">
        <w:rPr>
          <w:rFonts w:cstheme="minorHAnsi"/>
        </w:rPr>
        <w:t>koronavirusom</w:t>
      </w:r>
      <w:proofErr w:type="spellEnd"/>
      <w:r w:rsidRPr="004F1269">
        <w:rPr>
          <w:rFonts w:cstheme="minorHAnsi"/>
        </w:rPr>
        <w:t xml:space="preserve"> uslijed koje su ugostiteljski objekti određeno razdoblje bili zatvoreni.</w:t>
      </w:r>
    </w:p>
    <w:p w:rsidR="00793852" w:rsidRPr="004F1269" w:rsidRDefault="00793852" w:rsidP="0079684E">
      <w:pPr>
        <w:spacing w:line="240" w:lineRule="auto"/>
        <w:jc w:val="both"/>
        <w:rPr>
          <w:rFonts w:cstheme="minorHAnsi"/>
          <w:b/>
        </w:rPr>
      </w:pPr>
    </w:p>
    <w:p w:rsidR="0079684E" w:rsidRPr="004F1269" w:rsidRDefault="00793852" w:rsidP="0079684E">
      <w:pPr>
        <w:spacing w:line="240" w:lineRule="auto"/>
        <w:jc w:val="both"/>
        <w:rPr>
          <w:rFonts w:cstheme="minorHAnsi"/>
          <w:b/>
        </w:rPr>
      </w:pPr>
      <w:r w:rsidRPr="004F1269">
        <w:rPr>
          <w:rFonts w:cstheme="minorHAnsi"/>
          <w:b/>
        </w:rPr>
        <w:t xml:space="preserve">Bilješka br. 6 </w:t>
      </w:r>
      <w:r w:rsidR="0079684E" w:rsidRPr="004F1269">
        <w:rPr>
          <w:rFonts w:cstheme="minorHAnsi"/>
          <w:b/>
        </w:rPr>
        <w:t>AOP 030</w:t>
      </w:r>
      <w:r w:rsidRPr="004F1269">
        <w:rPr>
          <w:rFonts w:cstheme="minorHAnsi"/>
          <w:b/>
        </w:rPr>
        <w:t xml:space="preserve"> </w:t>
      </w:r>
      <w:r w:rsidRPr="004F1269">
        <w:rPr>
          <w:rFonts w:cstheme="minorHAnsi"/>
        </w:rPr>
        <w:t xml:space="preserve">- </w:t>
      </w:r>
      <w:r w:rsidR="0079684E" w:rsidRPr="004F1269">
        <w:rPr>
          <w:rFonts w:cstheme="minorHAnsi"/>
          <w:b/>
        </w:rPr>
        <w:t>Porez na dobitke od igara na sreću i ostali porezi od igara na sreću</w:t>
      </w:r>
    </w:p>
    <w:p w:rsidR="0079684E" w:rsidRPr="004F1269" w:rsidRDefault="0079684E" w:rsidP="0079684E">
      <w:pPr>
        <w:spacing w:line="240" w:lineRule="auto"/>
        <w:jc w:val="both"/>
        <w:rPr>
          <w:rFonts w:cstheme="minorHAnsi"/>
        </w:rPr>
      </w:pPr>
      <w:r w:rsidRPr="004F1269">
        <w:rPr>
          <w:rFonts w:cstheme="minorHAnsi"/>
        </w:rPr>
        <w:t xml:space="preserve">Na niže ostvarenje prihoda s ove osnove također je utjecala izvanredna epidemiološka situacija uzrokovana </w:t>
      </w:r>
      <w:proofErr w:type="spellStart"/>
      <w:r w:rsidRPr="004F1269">
        <w:rPr>
          <w:rFonts w:cstheme="minorHAnsi"/>
        </w:rPr>
        <w:t>koronavirusom</w:t>
      </w:r>
      <w:proofErr w:type="spellEnd"/>
      <w:r w:rsidRPr="004F1269">
        <w:rPr>
          <w:rFonts w:cstheme="minorHAnsi"/>
        </w:rPr>
        <w:t>.</w:t>
      </w:r>
    </w:p>
    <w:p w:rsidR="00793852" w:rsidRPr="004F1269" w:rsidRDefault="00793852" w:rsidP="0079684E">
      <w:pPr>
        <w:spacing w:line="240" w:lineRule="auto"/>
        <w:jc w:val="both"/>
        <w:rPr>
          <w:rFonts w:cstheme="minorHAnsi"/>
          <w:b/>
        </w:rPr>
      </w:pPr>
    </w:p>
    <w:p w:rsidR="002C7A08" w:rsidRDefault="002C7A08" w:rsidP="0079684E">
      <w:pPr>
        <w:spacing w:line="240" w:lineRule="auto"/>
        <w:jc w:val="both"/>
        <w:rPr>
          <w:rFonts w:cstheme="minorHAnsi"/>
          <w:b/>
        </w:rPr>
      </w:pPr>
    </w:p>
    <w:p w:rsidR="002C7A08" w:rsidRDefault="002C7A08" w:rsidP="0079684E">
      <w:pPr>
        <w:spacing w:line="240" w:lineRule="auto"/>
        <w:jc w:val="both"/>
        <w:rPr>
          <w:rFonts w:cstheme="minorHAnsi"/>
          <w:b/>
        </w:rPr>
      </w:pPr>
    </w:p>
    <w:p w:rsidR="00FC742D" w:rsidRDefault="00793852" w:rsidP="0079684E">
      <w:pPr>
        <w:spacing w:line="240" w:lineRule="auto"/>
        <w:jc w:val="both"/>
        <w:rPr>
          <w:rFonts w:cstheme="minorHAnsi"/>
          <w:b/>
        </w:rPr>
      </w:pPr>
      <w:r w:rsidRPr="004F1269">
        <w:rPr>
          <w:rFonts w:cstheme="minorHAnsi"/>
          <w:b/>
        </w:rPr>
        <w:lastRenderedPageBreak/>
        <w:t xml:space="preserve">Bilješka br. 7 </w:t>
      </w:r>
      <w:r w:rsidR="0079684E" w:rsidRPr="004F1269">
        <w:rPr>
          <w:rFonts w:cstheme="minorHAnsi"/>
          <w:b/>
        </w:rPr>
        <w:t>AOP 049</w:t>
      </w:r>
      <w:r w:rsidRPr="004F1269">
        <w:rPr>
          <w:rFonts w:cstheme="minorHAnsi"/>
          <w:b/>
        </w:rPr>
        <w:t xml:space="preserve"> - </w:t>
      </w:r>
      <w:r w:rsidR="0079684E" w:rsidRPr="004F1269">
        <w:rPr>
          <w:rFonts w:cstheme="minorHAnsi"/>
          <w:b/>
        </w:rPr>
        <w:t>Pomoći od međunarodnih organizacija te institucija i tijela EU</w:t>
      </w:r>
    </w:p>
    <w:p w:rsidR="0079684E" w:rsidRPr="00FC742D" w:rsidRDefault="0079684E" w:rsidP="0079684E">
      <w:pPr>
        <w:spacing w:line="240" w:lineRule="auto"/>
        <w:jc w:val="both"/>
        <w:rPr>
          <w:rFonts w:cstheme="minorHAnsi"/>
          <w:b/>
        </w:rPr>
      </w:pPr>
      <w:r w:rsidRPr="004F1269">
        <w:rPr>
          <w:rFonts w:cstheme="minorHAnsi"/>
        </w:rPr>
        <w:t>U 2020.  od institucija i tijela EU realizirano je 7.776.083,42 kn što je više nego prethodne godine. Realizirani su sljedeći projekti:</w:t>
      </w:r>
    </w:p>
    <w:p w:rsidR="0079684E" w:rsidRPr="004F1269" w:rsidRDefault="0079684E" w:rsidP="0079684E">
      <w:pPr>
        <w:pStyle w:val="ListParagraph"/>
        <w:numPr>
          <w:ilvl w:val="0"/>
          <w:numId w:val="16"/>
        </w:numPr>
        <w:spacing w:after="200" w:line="240" w:lineRule="auto"/>
        <w:jc w:val="both"/>
        <w:rPr>
          <w:rFonts w:cstheme="minorHAnsi"/>
        </w:rPr>
      </w:pPr>
      <w:proofErr w:type="spellStart"/>
      <w:r w:rsidRPr="004F1269">
        <w:rPr>
          <w:rFonts w:cstheme="minorHAnsi"/>
        </w:rPr>
        <w:t>Horizon</w:t>
      </w:r>
      <w:proofErr w:type="spellEnd"/>
      <w:r w:rsidRPr="004F1269">
        <w:rPr>
          <w:rFonts w:cstheme="minorHAnsi"/>
        </w:rPr>
        <w:t>/</w:t>
      </w:r>
      <w:proofErr w:type="spellStart"/>
      <w:r w:rsidRPr="004F1269">
        <w:rPr>
          <w:rFonts w:cstheme="minorHAnsi"/>
        </w:rPr>
        <w:t>proGireg</w:t>
      </w:r>
      <w:proofErr w:type="spellEnd"/>
      <w:r w:rsidRPr="004F1269">
        <w:rPr>
          <w:rFonts w:cstheme="minorHAnsi"/>
        </w:rPr>
        <w:t xml:space="preserve"> u iznosu od 695.899,57 kuna,</w:t>
      </w:r>
    </w:p>
    <w:p w:rsidR="0079684E" w:rsidRPr="004F1269" w:rsidRDefault="0079684E" w:rsidP="0079684E">
      <w:pPr>
        <w:pStyle w:val="ListParagraph"/>
        <w:numPr>
          <w:ilvl w:val="0"/>
          <w:numId w:val="16"/>
        </w:numPr>
        <w:spacing w:after="200" w:line="240" w:lineRule="auto"/>
        <w:jc w:val="both"/>
        <w:rPr>
          <w:rFonts w:cstheme="minorHAnsi"/>
        </w:rPr>
      </w:pPr>
      <w:proofErr w:type="spellStart"/>
      <w:r w:rsidRPr="004F1269">
        <w:rPr>
          <w:rFonts w:cstheme="minorHAnsi"/>
        </w:rPr>
        <w:t>Republeec</w:t>
      </w:r>
      <w:proofErr w:type="spellEnd"/>
      <w:r w:rsidRPr="004F1269">
        <w:rPr>
          <w:rFonts w:cstheme="minorHAnsi"/>
        </w:rPr>
        <w:t xml:space="preserve"> u iznosu od 4.021.380,00 kuna,</w:t>
      </w:r>
    </w:p>
    <w:p w:rsidR="0079684E" w:rsidRPr="004F1269" w:rsidRDefault="0079684E" w:rsidP="0079684E">
      <w:pPr>
        <w:pStyle w:val="ListParagraph"/>
        <w:numPr>
          <w:ilvl w:val="0"/>
          <w:numId w:val="16"/>
        </w:numPr>
        <w:spacing w:after="200" w:line="240" w:lineRule="auto"/>
        <w:jc w:val="both"/>
        <w:rPr>
          <w:rFonts w:cstheme="minorHAnsi"/>
        </w:rPr>
      </w:pPr>
      <w:proofErr w:type="spellStart"/>
      <w:r w:rsidRPr="004F1269">
        <w:rPr>
          <w:rFonts w:cstheme="minorHAnsi"/>
        </w:rPr>
        <w:t>Work</w:t>
      </w:r>
      <w:proofErr w:type="spellEnd"/>
      <w:r w:rsidRPr="004F1269">
        <w:rPr>
          <w:rFonts w:cstheme="minorHAnsi"/>
        </w:rPr>
        <w:t xml:space="preserve"> for </w:t>
      </w:r>
      <w:proofErr w:type="spellStart"/>
      <w:r w:rsidRPr="004F1269">
        <w:rPr>
          <w:rFonts w:cstheme="minorHAnsi"/>
        </w:rPr>
        <w:t>cause</w:t>
      </w:r>
      <w:proofErr w:type="spellEnd"/>
      <w:r w:rsidRPr="004F1269">
        <w:rPr>
          <w:rFonts w:cstheme="minorHAnsi"/>
        </w:rPr>
        <w:t xml:space="preserve">, </w:t>
      </w:r>
      <w:proofErr w:type="spellStart"/>
      <w:r w:rsidRPr="004F1269">
        <w:rPr>
          <w:rFonts w:cstheme="minorHAnsi"/>
        </w:rPr>
        <w:t>serve</w:t>
      </w:r>
      <w:proofErr w:type="spellEnd"/>
      <w:r w:rsidRPr="004F1269">
        <w:rPr>
          <w:rFonts w:cstheme="minorHAnsi"/>
        </w:rPr>
        <w:t xml:space="preserve"> for sport u iznosu od 1.870.199,37 kuna,</w:t>
      </w:r>
    </w:p>
    <w:p w:rsidR="0079684E" w:rsidRPr="004F1269" w:rsidRDefault="0079684E" w:rsidP="0079684E">
      <w:pPr>
        <w:pStyle w:val="ListParagraph"/>
        <w:numPr>
          <w:ilvl w:val="0"/>
          <w:numId w:val="16"/>
        </w:numPr>
        <w:spacing w:after="200" w:line="240" w:lineRule="auto"/>
        <w:jc w:val="both"/>
        <w:rPr>
          <w:rFonts w:cstheme="minorHAnsi"/>
        </w:rPr>
      </w:pPr>
      <w:r w:rsidRPr="004F1269">
        <w:rPr>
          <w:rFonts w:cstheme="minorHAnsi"/>
        </w:rPr>
        <w:t>Urban u iznosu od 154.895,45 kuna,</w:t>
      </w:r>
    </w:p>
    <w:p w:rsidR="0079684E" w:rsidRPr="004F1269" w:rsidRDefault="0079684E" w:rsidP="0079684E">
      <w:pPr>
        <w:pStyle w:val="ListParagraph"/>
        <w:numPr>
          <w:ilvl w:val="0"/>
          <w:numId w:val="16"/>
        </w:numPr>
        <w:spacing w:after="200" w:line="240" w:lineRule="auto"/>
        <w:jc w:val="both"/>
        <w:rPr>
          <w:rFonts w:cstheme="minorHAnsi"/>
        </w:rPr>
      </w:pPr>
      <w:proofErr w:type="spellStart"/>
      <w:r w:rsidRPr="004F1269">
        <w:rPr>
          <w:rFonts w:cstheme="minorHAnsi"/>
        </w:rPr>
        <w:t>Together</w:t>
      </w:r>
      <w:proofErr w:type="spellEnd"/>
      <w:r w:rsidRPr="004F1269">
        <w:rPr>
          <w:rFonts w:cstheme="minorHAnsi"/>
        </w:rPr>
        <w:t xml:space="preserve"> u iznosu od 317.174,27 kuna,</w:t>
      </w:r>
    </w:p>
    <w:p w:rsidR="0079684E" w:rsidRPr="004F1269" w:rsidRDefault="0079684E" w:rsidP="0079684E">
      <w:pPr>
        <w:pStyle w:val="ListParagraph"/>
        <w:numPr>
          <w:ilvl w:val="0"/>
          <w:numId w:val="16"/>
        </w:numPr>
        <w:spacing w:after="200" w:line="240" w:lineRule="auto"/>
        <w:jc w:val="both"/>
        <w:rPr>
          <w:rFonts w:cstheme="minorHAnsi"/>
        </w:rPr>
      </w:pPr>
      <w:proofErr w:type="spellStart"/>
      <w:r w:rsidRPr="004F1269">
        <w:rPr>
          <w:rFonts w:cstheme="minorHAnsi"/>
        </w:rPr>
        <w:t>Crosscare</w:t>
      </w:r>
      <w:proofErr w:type="spellEnd"/>
      <w:r w:rsidRPr="004F1269">
        <w:rPr>
          <w:rFonts w:cstheme="minorHAnsi"/>
        </w:rPr>
        <w:t xml:space="preserve"> u iznosu od 28.397,38 kuna,</w:t>
      </w:r>
    </w:p>
    <w:p w:rsidR="0079684E" w:rsidRPr="004F1269" w:rsidRDefault="0079684E" w:rsidP="0079684E">
      <w:pPr>
        <w:pStyle w:val="ListParagraph"/>
        <w:numPr>
          <w:ilvl w:val="0"/>
          <w:numId w:val="16"/>
        </w:numPr>
        <w:spacing w:after="200" w:line="240" w:lineRule="auto"/>
        <w:jc w:val="both"/>
        <w:rPr>
          <w:rFonts w:cstheme="minorHAnsi"/>
        </w:rPr>
      </w:pPr>
      <w:proofErr w:type="spellStart"/>
      <w:r w:rsidRPr="004F1269">
        <w:rPr>
          <w:rFonts w:cstheme="minorHAnsi"/>
        </w:rPr>
        <w:t>Urbrec</w:t>
      </w:r>
      <w:proofErr w:type="spellEnd"/>
      <w:r w:rsidRPr="004F1269">
        <w:rPr>
          <w:rFonts w:cstheme="minorHAnsi"/>
        </w:rPr>
        <w:t xml:space="preserve"> u iznosu od 40.531,91 kuna,</w:t>
      </w:r>
    </w:p>
    <w:p w:rsidR="0079684E" w:rsidRPr="004F1269" w:rsidRDefault="0079684E" w:rsidP="0079684E">
      <w:pPr>
        <w:pStyle w:val="ListParagraph"/>
        <w:numPr>
          <w:ilvl w:val="0"/>
          <w:numId w:val="16"/>
        </w:numPr>
        <w:spacing w:after="200" w:line="240" w:lineRule="auto"/>
        <w:jc w:val="both"/>
        <w:rPr>
          <w:rFonts w:cstheme="minorHAnsi"/>
        </w:rPr>
      </w:pPr>
      <w:proofErr w:type="spellStart"/>
      <w:r w:rsidRPr="004F1269">
        <w:rPr>
          <w:rFonts w:cstheme="minorHAnsi"/>
        </w:rPr>
        <w:t>Activehome</w:t>
      </w:r>
      <w:proofErr w:type="spellEnd"/>
      <w:r w:rsidRPr="004F1269">
        <w:rPr>
          <w:rFonts w:cstheme="minorHAnsi"/>
        </w:rPr>
        <w:t>/ aktivacija beskućnika u iznosu od 106.208,88 kuna,</w:t>
      </w:r>
    </w:p>
    <w:p w:rsidR="0079684E" w:rsidRPr="004F1269" w:rsidRDefault="0079684E" w:rsidP="0079684E">
      <w:pPr>
        <w:pStyle w:val="ListParagraph"/>
        <w:numPr>
          <w:ilvl w:val="0"/>
          <w:numId w:val="16"/>
        </w:numPr>
        <w:spacing w:after="200" w:line="240" w:lineRule="auto"/>
        <w:jc w:val="both"/>
        <w:rPr>
          <w:rFonts w:cstheme="minorHAnsi"/>
        </w:rPr>
      </w:pPr>
      <w:proofErr w:type="spellStart"/>
      <w:r w:rsidRPr="004F1269">
        <w:rPr>
          <w:rFonts w:cstheme="minorHAnsi"/>
        </w:rPr>
        <w:t>URBforDAN</w:t>
      </w:r>
      <w:proofErr w:type="spellEnd"/>
      <w:r w:rsidRPr="004F1269">
        <w:rPr>
          <w:rFonts w:cstheme="minorHAnsi"/>
        </w:rPr>
        <w:t xml:space="preserve"> u iznosu od 284.225,83 kune,</w:t>
      </w:r>
    </w:p>
    <w:p w:rsidR="0079684E" w:rsidRPr="004F1269" w:rsidRDefault="0079684E" w:rsidP="0079684E">
      <w:pPr>
        <w:pStyle w:val="ListParagraph"/>
        <w:numPr>
          <w:ilvl w:val="0"/>
          <w:numId w:val="16"/>
        </w:numPr>
        <w:spacing w:after="200" w:line="240" w:lineRule="auto"/>
        <w:jc w:val="both"/>
        <w:rPr>
          <w:rFonts w:cstheme="minorHAnsi"/>
        </w:rPr>
      </w:pPr>
      <w:r w:rsidRPr="004F1269">
        <w:rPr>
          <w:rFonts w:cstheme="minorHAnsi"/>
        </w:rPr>
        <w:t xml:space="preserve">Urban </w:t>
      </w:r>
      <w:proofErr w:type="spellStart"/>
      <w:r w:rsidRPr="004F1269">
        <w:rPr>
          <w:rFonts w:cstheme="minorHAnsi"/>
        </w:rPr>
        <w:t>manufactoring</w:t>
      </w:r>
      <w:proofErr w:type="spellEnd"/>
      <w:r w:rsidRPr="004F1269">
        <w:rPr>
          <w:rFonts w:cstheme="minorHAnsi"/>
        </w:rPr>
        <w:t xml:space="preserve"> u iznosu od 231.985,79 kuna,</w:t>
      </w:r>
    </w:p>
    <w:p w:rsidR="0079684E" w:rsidRPr="004F1269" w:rsidRDefault="0079684E" w:rsidP="0079684E">
      <w:pPr>
        <w:pStyle w:val="ListParagraph"/>
        <w:numPr>
          <w:ilvl w:val="0"/>
          <w:numId w:val="16"/>
        </w:numPr>
        <w:spacing w:after="200" w:line="240" w:lineRule="auto"/>
        <w:jc w:val="both"/>
        <w:rPr>
          <w:rFonts w:cstheme="minorHAnsi"/>
        </w:rPr>
      </w:pPr>
      <w:r w:rsidRPr="004F1269">
        <w:rPr>
          <w:rFonts w:cstheme="minorHAnsi"/>
        </w:rPr>
        <w:t>Eureka u iznosu od 25.184,97 kuna.</w:t>
      </w:r>
    </w:p>
    <w:p w:rsidR="00793852" w:rsidRPr="004F1269" w:rsidRDefault="00793852" w:rsidP="0079684E">
      <w:pPr>
        <w:spacing w:line="240" w:lineRule="auto"/>
        <w:jc w:val="both"/>
        <w:rPr>
          <w:rFonts w:cstheme="minorHAnsi"/>
          <w:b/>
        </w:rPr>
      </w:pPr>
    </w:p>
    <w:p w:rsidR="0079684E" w:rsidRPr="004F1269" w:rsidRDefault="00793852" w:rsidP="0079684E">
      <w:pPr>
        <w:spacing w:line="240" w:lineRule="auto"/>
        <w:jc w:val="both"/>
        <w:rPr>
          <w:rFonts w:cstheme="minorHAnsi"/>
        </w:rPr>
      </w:pPr>
      <w:r w:rsidRPr="004F1269">
        <w:rPr>
          <w:rFonts w:cstheme="minorHAnsi"/>
          <w:b/>
        </w:rPr>
        <w:t xml:space="preserve">Bilješka br. 8 </w:t>
      </w:r>
      <w:r w:rsidR="0079684E" w:rsidRPr="004F1269">
        <w:rPr>
          <w:rFonts w:cstheme="minorHAnsi"/>
          <w:b/>
        </w:rPr>
        <w:t>AOP 055</w:t>
      </w:r>
      <w:r w:rsidRPr="004F1269">
        <w:rPr>
          <w:rFonts w:cstheme="minorHAnsi"/>
          <w:b/>
        </w:rPr>
        <w:t xml:space="preserve"> - </w:t>
      </w:r>
      <w:r w:rsidR="0079684E" w:rsidRPr="004F1269">
        <w:rPr>
          <w:rFonts w:cstheme="minorHAnsi"/>
          <w:b/>
        </w:rPr>
        <w:t>Tekuće pomoći proračunu iz drugih proračuna</w:t>
      </w:r>
    </w:p>
    <w:p w:rsidR="0079684E" w:rsidRPr="004F1269" w:rsidRDefault="0079684E" w:rsidP="0079684E">
      <w:pPr>
        <w:spacing w:line="240" w:lineRule="auto"/>
        <w:jc w:val="both"/>
        <w:rPr>
          <w:rFonts w:cstheme="minorHAnsi"/>
        </w:rPr>
      </w:pPr>
      <w:r w:rsidRPr="004F1269">
        <w:rPr>
          <w:rFonts w:cstheme="minorHAnsi"/>
        </w:rPr>
        <w:t>Tekuće pomoći proračunu iz drugih proračuna ostvarene su u iznosu od 185.712.433,39 kuna što je više nego prethodne godine. Pomoći su doznačene za sljedeće namjene:</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pomoć kao kompenzacijska mjera zbog manje ostvarenih prihoda od poreza na dohodak u iznosu od 129.662.098,28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sufinanciranje Arene u iznosu od 28.480.687,50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sufinanciranje međumjesnog javnog prijevoza učenika u iznosu od 14.380.994,81 kunu,</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izbore za europski parlament u iznosu od 10.748.074,19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poticanje razvoja obrta, malog i srednjeg poduzetništva u iznosu od 1.546.488,87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potpore gradova i općina za sanaciju od potresa u iznosu od 570.000,00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rotor Remetinec u iznosu od 115.575,49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pomoći iz državnog proračuna – ostalo u iznosu od 208.514,25 kuna.</w:t>
      </w:r>
    </w:p>
    <w:p w:rsidR="00793852" w:rsidRPr="004F1269" w:rsidRDefault="00793852" w:rsidP="0079684E">
      <w:pPr>
        <w:spacing w:line="240" w:lineRule="auto"/>
        <w:jc w:val="both"/>
        <w:rPr>
          <w:rFonts w:cstheme="minorHAnsi"/>
          <w:b/>
        </w:rPr>
      </w:pPr>
    </w:p>
    <w:p w:rsidR="0079684E" w:rsidRPr="004F1269" w:rsidRDefault="00793852" w:rsidP="0079684E">
      <w:pPr>
        <w:spacing w:line="240" w:lineRule="auto"/>
        <w:jc w:val="both"/>
        <w:rPr>
          <w:rFonts w:cstheme="minorHAnsi"/>
          <w:b/>
        </w:rPr>
      </w:pPr>
      <w:r w:rsidRPr="004F1269">
        <w:rPr>
          <w:rFonts w:cstheme="minorHAnsi"/>
          <w:b/>
        </w:rPr>
        <w:t xml:space="preserve">Bilješka br. 9 </w:t>
      </w:r>
      <w:r w:rsidR="0079684E" w:rsidRPr="004F1269">
        <w:rPr>
          <w:rFonts w:cstheme="minorHAnsi"/>
          <w:b/>
        </w:rPr>
        <w:t>AOP 056</w:t>
      </w:r>
      <w:r w:rsidRPr="004F1269">
        <w:rPr>
          <w:rFonts w:cstheme="minorHAnsi"/>
          <w:b/>
        </w:rPr>
        <w:t xml:space="preserve"> - </w:t>
      </w:r>
      <w:r w:rsidR="0079684E" w:rsidRPr="004F1269">
        <w:rPr>
          <w:rFonts w:cstheme="minorHAnsi"/>
          <w:b/>
        </w:rPr>
        <w:t>Kapitalne pomoći proračunu iz drugih proračuna</w:t>
      </w:r>
    </w:p>
    <w:p w:rsidR="0079684E" w:rsidRPr="004F1269" w:rsidRDefault="0079684E" w:rsidP="0079684E">
      <w:pPr>
        <w:spacing w:line="240" w:lineRule="auto"/>
        <w:jc w:val="both"/>
        <w:rPr>
          <w:rFonts w:cstheme="minorHAnsi"/>
        </w:rPr>
      </w:pPr>
      <w:r w:rsidRPr="004F1269">
        <w:rPr>
          <w:rFonts w:cstheme="minorHAnsi"/>
        </w:rPr>
        <w:t xml:space="preserve">Kapitalne pomoći proračunu doznačene su u iznosu od 15.462.204,66 kuna iz državnog proračuna za izgradnju rotora Remetinec.  </w:t>
      </w:r>
    </w:p>
    <w:p w:rsidR="00DE021B" w:rsidRPr="004F1269" w:rsidRDefault="00DE021B" w:rsidP="0079684E">
      <w:pPr>
        <w:spacing w:line="240" w:lineRule="auto"/>
        <w:jc w:val="both"/>
        <w:rPr>
          <w:rFonts w:cstheme="minorHAnsi"/>
          <w:b/>
        </w:rPr>
      </w:pPr>
    </w:p>
    <w:p w:rsidR="0079684E" w:rsidRPr="004F1269" w:rsidRDefault="00793852" w:rsidP="0079684E">
      <w:pPr>
        <w:spacing w:line="240" w:lineRule="auto"/>
        <w:jc w:val="both"/>
        <w:rPr>
          <w:rFonts w:cstheme="minorHAnsi"/>
          <w:b/>
        </w:rPr>
      </w:pPr>
      <w:r w:rsidRPr="004F1269">
        <w:rPr>
          <w:rFonts w:cstheme="minorHAnsi"/>
          <w:b/>
        </w:rPr>
        <w:t>Bilješk</w:t>
      </w:r>
      <w:r w:rsidR="00242C30" w:rsidRPr="004F1269">
        <w:rPr>
          <w:rFonts w:cstheme="minorHAnsi"/>
          <w:b/>
        </w:rPr>
        <w:t>a</w:t>
      </w:r>
      <w:r w:rsidRPr="004F1269">
        <w:rPr>
          <w:rFonts w:cstheme="minorHAnsi"/>
          <w:b/>
        </w:rPr>
        <w:t xml:space="preserve"> br. 10 </w:t>
      </w:r>
      <w:r w:rsidR="0079684E" w:rsidRPr="004F1269">
        <w:rPr>
          <w:rFonts w:cstheme="minorHAnsi"/>
          <w:b/>
        </w:rPr>
        <w:t>AOP 058</w:t>
      </w:r>
      <w:r w:rsidRPr="004F1269">
        <w:rPr>
          <w:rFonts w:cstheme="minorHAnsi"/>
          <w:b/>
        </w:rPr>
        <w:t xml:space="preserve"> </w:t>
      </w:r>
      <w:r w:rsidRPr="004F1269">
        <w:rPr>
          <w:rFonts w:cstheme="minorHAnsi"/>
        </w:rPr>
        <w:t xml:space="preserve">- </w:t>
      </w:r>
      <w:r w:rsidR="0079684E" w:rsidRPr="004F1269">
        <w:rPr>
          <w:rFonts w:cstheme="minorHAnsi"/>
          <w:b/>
        </w:rPr>
        <w:t>Tekuće pomoći od izvanproračunskih korisnika</w:t>
      </w:r>
    </w:p>
    <w:p w:rsidR="0079684E" w:rsidRPr="004F1269" w:rsidRDefault="0079684E" w:rsidP="0079684E">
      <w:pPr>
        <w:spacing w:line="240" w:lineRule="auto"/>
        <w:jc w:val="both"/>
        <w:rPr>
          <w:rFonts w:cstheme="minorHAnsi"/>
        </w:rPr>
      </w:pPr>
      <w:r w:rsidRPr="004F1269">
        <w:rPr>
          <w:rFonts w:cstheme="minorHAnsi"/>
        </w:rPr>
        <w:t>Tekuće pomoći u 2020. doznačene su od strane HZZ-a u iznosu od 51.235,56 kuna za zapošljavanje volontera.</w:t>
      </w:r>
    </w:p>
    <w:p w:rsidR="00242C30" w:rsidRPr="004F1269" w:rsidRDefault="00242C30" w:rsidP="0079684E">
      <w:pPr>
        <w:spacing w:line="240" w:lineRule="auto"/>
        <w:jc w:val="both"/>
        <w:rPr>
          <w:rFonts w:cstheme="minorHAnsi"/>
          <w:b/>
        </w:rPr>
      </w:pPr>
    </w:p>
    <w:p w:rsidR="0079684E" w:rsidRPr="004F1269" w:rsidRDefault="00242C30" w:rsidP="0079684E">
      <w:pPr>
        <w:spacing w:line="240" w:lineRule="auto"/>
        <w:jc w:val="both"/>
        <w:rPr>
          <w:rFonts w:cstheme="minorHAnsi"/>
          <w:b/>
        </w:rPr>
      </w:pPr>
      <w:r w:rsidRPr="004F1269">
        <w:rPr>
          <w:rFonts w:cstheme="minorHAnsi"/>
          <w:b/>
        </w:rPr>
        <w:t xml:space="preserve">Bilješka br. 11 </w:t>
      </w:r>
      <w:r w:rsidR="0079684E" w:rsidRPr="004F1269">
        <w:rPr>
          <w:rFonts w:cstheme="minorHAnsi"/>
          <w:b/>
        </w:rPr>
        <w:t>AOP 061</w:t>
      </w:r>
      <w:r w:rsidRPr="004F1269">
        <w:rPr>
          <w:rFonts w:cstheme="minorHAnsi"/>
          <w:b/>
        </w:rPr>
        <w:t xml:space="preserve"> - </w:t>
      </w:r>
      <w:r w:rsidR="0079684E" w:rsidRPr="004F1269">
        <w:rPr>
          <w:rFonts w:cstheme="minorHAnsi"/>
          <w:b/>
        </w:rPr>
        <w:t>Tekuće pomoći izravnanja za decentralizirane funkcije</w:t>
      </w:r>
    </w:p>
    <w:p w:rsidR="0079684E" w:rsidRPr="004F1269" w:rsidRDefault="0079684E" w:rsidP="0079684E">
      <w:pPr>
        <w:spacing w:line="240" w:lineRule="auto"/>
        <w:jc w:val="both"/>
        <w:rPr>
          <w:rFonts w:cstheme="minorHAnsi"/>
        </w:rPr>
      </w:pPr>
      <w:r w:rsidRPr="004F1269">
        <w:rPr>
          <w:rFonts w:cstheme="minorHAnsi"/>
        </w:rPr>
        <w:t>Tekuće pomoći za decentralizirane pomoći doznačene su u iznosu od 61.241.574,58 kuna. Prihodi za financiranje decentraliziranih funkcija ostvareni iz udjela u porezu na dohodak manji su nego prethodne godine pa je slijedom toga, do visine minimalnih standarda, trebalo doznačiti veći iznos pomoći izravnanja.</w:t>
      </w:r>
    </w:p>
    <w:p w:rsidR="00242C30" w:rsidRPr="004F1269" w:rsidRDefault="00242C30" w:rsidP="0079684E">
      <w:pPr>
        <w:spacing w:line="240" w:lineRule="auto"/>
        <w:jc w:val="both"/>
        <w:rPr>
          <w:rFonts w:cstheme="minorHAnsi"/>
          <w:b/>
        </w:rPr>
      </w:pPr>
    </w:p>
    <w:p w:rsidR="00FC742D" w:rsidRDefault="00242C30" w:rsidP="0079684E">
      <w:pPr>
        <w:spacing w:line="240" w:lineRule="auto"/>
        <w:jc w:val="both"/>
        <w:rPr>
          <w:rFonts w:cstheme="minorHAnsi"/>
          <w:b/>
        </w:rPr>
      </w:pPr>
      <w:r w:rsidRPr="004F1269">
        <w:rPr>
          <w:rFonts w:cstheme="minorHAnsi"/>
          <w:b/>
        </w:rPr>
        <w:lastRenderedPageBreak/>
        <w:t xml:space="preserve">Bilješka br. 12 </w:t>
      </w:r>
      <w:r w:rsidR="0079684E" w:rsidRPr="004F1269">
        <w:rPr>
          <w:rFonts w:cstheme="minorHAnsi"/>
          <w:b/>
        </w:rPr>
        <w:t>AOP 067</w:t>
      </w:r>
      <w:r w:rsidRPr="004F1269">
        <w:rPr>
          <w:rFonts w:cstheme="minorHAnsi"/>
          <w:b/>
        </w:rPr>
        <w:t xml:space="preserve"> - </w:t>
      </w:r>
      <w:r w:rsidR="0079684E" w:rsidRPr="004F1269">
        <w:rPr>
          <w:rFonts w:cstheme="minorHAnsi"/>
          <w:b/>
        </w:rPr>
        <w:t>Tekuće pomoći temeljem prijenosa EU sredstava</w:t>
      </w:r>
    </w:p>
    <w:p w:rsidR="0079684E" w:rsidRPr="00FC742D" w:rsidRDefault="0079684E" w:rsidP="0079684E">
      <w:pPr>
        <w:spacing w:line="240" w:lineRule="auto"/>
        <w:jc w:val="both"/>
        <w:rPr>
          <w:rFonts w:cstheme="minorHAnsi"/>
          <w:b/>
        </w:rPr>
      </w:pPr>
      <w:r w:rsidRPr="004F1269">
        <w:rPr>
          <w:rFonts w:cstheme="minorHAnsi"/>
        </w:rPr>
        <w:t>Tekuće pomoći temeljem prijenosa EU sredstava ostvarene su u iznosu od 11.226.300,78 kuna i doznačene su za projekte:</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pomoćnici u nastavi – III faza u iznosu od 4.422.857,14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provedba ITU mehanizama u iznosu od 1.926.498,06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školska shema voće u iznosu od 2.487.510,22 kune,</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 xml:space="preserve">postani aktivan </w:t>
      </w:r>
      <w:proofErr w:type="spellStart"/>
      <w:r w:rsidRPr="004F1269">
        <w:rPr>
          <w:rFonts w:cstheme="minorHAnsi"/>
        </w:rPr>
        <w:t>rom</w:t>
      </w:r>
      <w:proofErr w:type="spellEnd"/>
      <w:r w:rsidRPr="004F1269">
        <w:rPr>
          <w:rFonts w:cstheme="minorHAnsi"/>
        </w:rPr>
        <w:t>/</w:t>
      </w:r>
      <w:proofErr w:type="spellStart"/>
      <w:r w:rsidRPr="004F1269">
        <w:rPr>
          <w:rFonts w:cstheme="minorHAnsi"/>
        </w:rPr>
        <w:t>kinja</w:t>
      </w:r>
      <w:proofErr w:type="spellEnd"/>
      <w:r w:rsidRPr="004F1269">
        <w:rPr>
          <w:rFonts w:cstheme="minorHAnsi"/>
        </w:rPr>
        <w:t xml:space="preserve"> i zaposli se – PARIZ u iznosu od 551.255,07,</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socijalno se uključi i zaposli u iznosu od 508.835,92 kune,</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rotor Remetinec u iznosu od 654.927,79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stavi pravu stvar na pravo mjesto u iznosu od 365.129,86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mreža za mlade Zg-za socijalno uključivanje u iznosu od 102.213,42 kuna,</w:t>
      </w:r>
    </w:p>
    <w:p w:rsidR="0079684E" w:rsidRPr="004F1269" w:rsidRDefault="0079684E" w:rsidP="0079684E">
      <w:pPr>
        <w:pStyle w:val="ListParagraph"/>
        <w:numPr>
          <w:ilvl w:val="0"/>
          <w:numId w:val="15"/>
        </w:numPr>
        <w:spacing w:after="200" w:line="240" w:lineRule="auto"/>
        <w:jc w:val="both"/>
        <w:rPr>
          <w:rFonts w:cstheme="minorHAnsi"/>
          <w:b/>
        </w:rPr>
      </w:pPr>
      <w:r w:rsidRPr="004F1269">
        <w:rPr>
          <w:rFonts w:cstheme="minorHAnsi"/>
        </w:rPr>
        <w:t xml:space="preserve">potresni rizik Grada Zagreba u iznosu od 83.869,46 </w:t>
      </w:r>
    </w:p>
    <w:p w:rsidR="0079684E" w:rsidRPr="004F1269" w:rsidRDefault="0079684E" w:rsidP="0079684E">
      <w:pPr>
        <w:pStyle w:val="ListParagraph"/>
        <w:numPr>
          <w:ilvl w:val="0"/>
          <w:numId w:val="15"/>
        </w:numPr>
        <w:spacing w:after="200" w:line="240" w:lineRule="auto"/>
        <w:jc w:val="both"/>
        <w:rPr>
          <w:rFonts w:cstheme="minorHAnsi"/>
          <w:b/>
        </w:rPr>
      </w:pPr>
      <w:r w:rsidRPr="004F1269">
        <w:rPr>
          <w:rFonts w:cstheme="minorHAnsi"/>
        </w:rPr>
        <w:t xml:space="preserve">EDUBIZ-edukacijom do zaposlenja u iznosu od 71.657,48 kuna </w:t>
      </w:r>
      <w:proofErr w:type="spellStart"/>
      <w:r w:rsidRPr="004F1269">
        <w:rPr>
          <w:rFonts w:cstheme="minorHAnsi"/>
        </w:rPr>
        <w:t>kuna</w:t>
      </w:r>
      <w:proofErr w:type="spellEnd"/>
      <w:r w:rsidRPr="004F1269">
        <w:rPr>
          <w:rFonts w:cstheme="minorHAnsi"/>
        </w:rPr>
        <w:t xml:space="preserve"> te niz manjih projekata.</w:t>
      </w:r>
    </w:p>
    <w:p w:rsidR="00242C30" w:rsidRPr="004F1269" w:rsidRDefault="0079684E" w:rsidP="0079684E">
      <w:pPr>
        <w:spacing w:line="240" w:lineRule="auto"/>
        <w:jc w:val="both"/>
        <w:rPr>
          <w:rFonts w:cstheme="minorHAnsi"/>
          <w:b/>
        </w:rPr>
      </w:pPr>
      <w:r w:rsidRPr="004F1269">
        <w:rPr>
          <w:rFonts w:cstheme="minorHAnsi"/>
          <w:b/>
        </w:rPr>
        <w:t xml:space="preserve"> </w:t>
      </w:r>
    </w:p>
    <w:p w:rsidR="0079684E" w:rsidRPr="004F1269" w:rsidRDefault="00242C30" w:rsidP="0079684E">
      <w:pPr>
        <w:spacing w:line="240" w:lineRule="auto"/>
        <w:jc w:val="both"/>
        <w:rPr>
          <w:rFonts w:cstheme="minorHAnsi"/>
          <w:b/>
        </w:rPr>
      </w:pPr>
      <w:r w:rsidRPr="004F1269">
        <w:rPr>
          <w:rFonts w:cstheme="minorHAnsi"/>
          <w:b/>
        </w:rPr>
        <w:t xml:space="preserve">Bilješka br. 13 </w:t>
      </w:r>
      <w:r w:rsidR="0079684E" w:rsidRPr="004F1269">
        <w:rPr>
          <w:rFonts w:cstheme="minorHAnsi"/>
          <w:b/>
        </w:rPr>
        <w:t xml:space="preserve">AOP 068 </w:t>
      </w:r>
      <w:r w:rsidRPr="004F1269">
        <w:rPr>
          <w:rFonts w:cstheme="minorHAnsi"/>
          <w:b/>
        </w:rPr>
        <w:t xml:space="preserve">- </w:t>
      </w:r>
      <w:r w:rsidR="0079684E" w:rsidRPr="004F1269">
        <w:rPr>
          <w:rFonts w:cstheme="minorHAnsi"/>
          <w:b/>
        </w:rPr>
        <w:t>Kapitalne pomoći temeljem prijenosa EU sredstava</w:t>
      </w:r>
    </w:p>
    <w:p w:rsidR="0079684E" w:rsidRPr="004F1269" w:rsidRDefault="0079684E" w:rsidP="0079684E">
      <w:pPr>
        <w:spacing w:line="240" w:lineRule="auto"/>
        <w:jc w:val="both"/>
        <w:rPr>
          <w:rFonts w:cstheme="minorHAnsi"/>
        </w:rPr>
      </w:pPr>
      <w:r w:rsidRPr="004F1269">
        <w:rPr>
          <w:rFonts w:cstheme="minorHAnsi"/>
        </w:rPr>
        <w:t>Kapitalne pomoći temeljem prijenosa EU sredstava ostvarene su u iznosu od 137.789.540,28 kuna i doznačene su za projekte:</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Rotor Remetinec u iznosu od 87.619.159,71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prenamjena prostora u Vlaškoj u iznosu od 17.969.546,15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energetska obnova zgrada javne namjene u iznosu od 15.441.570,70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ZAGEE u iznosu od 14.703.287,00 kuna,</w:t>
      </w:r>
    </w:p>
    <w:p w:rsidR="0079684E" w:rsidRPr="004F1269" w:rsidRDefault="0079684E" w:rsidP="0079684E">
      <w:pPr>
        <w:pStyle w:val="ListParagraph"/>
        <w:numPr>
          <w:ilvl w:val="0"/>
          <w:numId w:val="15"/>
        </w:numPr>
        <w:spacing w:after="200" w:line="240" w:lineRule="auto"/>
        <w:jc w:val="both"/>
        <w:rPr>
          <w:rFonts w:cstheme="minorHAnsi"/>
        </w:rPr>
      </w:pPr>
      <w:r w:rsidRPr="004F1269">
        <w:rPr>
          <w:rFonts w:cstheme="minorHAnsi"/>
        </w:rPr>
        <w:t>Modernizacija II u iznosu od 1.102.183,30 kuna,</w:t>
      </w:r>
    </w:p>
    <w:p w:rsidR="0079684E" w:rsidRPr="004F1269" w:rsidRDefault="0079684E" w:rsidP="0079684E">
      <w:pPr>
        <w:pStyle w:val="ListParagraph"/>
        <w:numPr>
          <w:ilvl w:val="0"/>
          <w:numId w:val="15"/>
        </w:numPr>
        <w:spacing w:after="200" w:line="240" w:lineRule="auto"/>
        <w:jc w:val="both"/>
        <w:rPr>
          <w:rFonts w:cstheme="minorHAnsi"/>
        </w:rPr>
      </w:pPr>
      <w:proofErr w:type="spellStart"/>
      <w:r w:rsidRPr="004F1269">
        <w:rPr>
          <w:rFonts w:cstheme="minorHAnsi"/>
        </w:rPr>
        <w:t>Greenway</w:t>
      </w:r>
      <w:proofErr w:type="spellEnd"/>
      <w:r w:rsidRPr="004F1269">
        <w:rPr>
          <w:rFonts w:cstheme="minorHAnsi"/>
        </w:rPr>
        <w:t xml:space="preserve"> u iznosu od 953.793,42 kune.</w:t>
      </w:r>
    </w:p>
    <w:p w:rsidR="0079684E" w:rsidRPr="004F1269" w:rsidRDefault="0079684E" w:rsidP="0079684E">
      <w:pPr>
        <w:spacing w:line="240" w:lineRule="auto"/>
        <w:ind w:left="360"/>
        <w:jc w:val="both"/>
        <w:rPr>
          <w:rFonts w:cstheme="minorHAnsi"/>
        </w:rPr>
      </w:pPr>
      <w:r w:rsidRPr="004F1269">
        <w:rPr>
          <w:rFonts w:cstheme="minorHAnsi"/>
        </w:rPr>
        <w:t>Projekt Rotor Remetinec je najvećim dijelom završen prethodne godine kada je i doznačen najveći iznos sredstava za njegovo financiranje.</w:t>
      </w:r>
    </w:p>
    <w:p w:rsidR="00242C30" w:rsidRPr="004F1269" w:rsidRDefault="00242C30" w:rsidP="0079684E">
      <w:pPr>
        <w:spacing w:line="240" w:lineRule="auto"/>
        <w:jc w:val="both"/>
        <w:rPr>
          <w:rFonts w:cstheme="minorHAnsi"/>
          <w:b/>
        </w:rPr>
      </w:pPr>
    </w:p>
    <w:p w:rsidR="0079684E" w:rsidRPr="004F1269" w:rsidRDefault="00242C30" w:rsidP="00242C30">
      <w:pPr>
        <w:spacing w:line="240" w:lineRule="auto"/>
        <w:jc w:val="both"/>
        <w:rPr>
          <w:rFonts w:cstheme="minorHAnsi"/>
          <w:b/>
        </w:rPr>
      </w:pPr>
      <w:r w:rsidRPr="004F1269">
        <w:rPr>
          <w:rFonts w:cstheme="minorHAnsi"/>
          <w:b/>
        </w:rPr>
        <w:t xml:space="preserve">Bilješka br. 14  </w:t>
      </w:r>
      <w:r w:rsidR="0079684E" w:rsidRPr="004F1269">
        <w:rPr>
          <w:rFonts w:cstheme="minorHAnsi"/>
          <w:b/>
        </w:rPr>
        <w:t xml:space="preserve">AOP 079 </w:t>
      </w:r>
      <w:r w:rsidRPr="004F1269">
        <w:rPr>
          <w:rFonts w:cstheme="minorHAnsi"/>
          <w:b/>
        </w:rPr>
        <w:t xml:space="preserve">- </w:t>
      </w:r>
      <w:r w:rsidR="0079684E" w:rsidRPr="004F1269">
        <w:rPr>
          <w:rFonts w:cstheme="minorHAnsi"/>
          <w:b/>
        </w:rPr>
        <w:t>Prihodi od pozitivnih tečajnih razlika i razlika zbog primjene valutne klauzule</w:t>
      </w:r>
    </w:p>
    <w:p w:rsidR="0079684E" w:rsidRPr="004F1269" w:rsidRDefault="0079684E" w:rsidP="0079684E">
      <w:pPr>
        <w:jc w:val="both"/>
        <w:rPr>
          <w:rFonts w:cstheme="minorHAnsi"/>
        </w:rPr>
      </w:pPr>
      <w:r w:rsidRPr="004F1269">
        <w:rPr>
          <w:rFonts w:cstheme="minorHAnsi"/>
        </w:rPr>
        <w:t>Povećanje prihoda od pozitivnih tečajnih razlika u odnosu na prethodnu godinu, rezultat je zatvaranja većeg broja obveza koje zbog promjene valutnog tečaja ostvaruju pozitivnu tečajnu razliku s obzirom da kupci vrše uplate za otkup stanova u devizama te se kao rezultat, uz obračun srednjeg tečaja HNB-a zadnji dan u mjesecu, utvrdi postojanje pozitivne tečajne razlike.</w:t>
      </w:r>
    </w:p>
    <w:p w:rsidR="00242C30" w:rsidRPr="004F1269" w:rsidRDefault="00242C30" w:rsidP="0079684E">
      <w:pPr>
        <w:jc w:val="both"/>
        <w:rPr>
          <w:rFonts w:cstheme="minorHAnsi"/>
          <w:b/>
        </w:rPr>
      </w:pPr>
    </w:p>
    <w:p w:rsidR="0079684E" w:rsidRPr="004F1269" w:rsidRDefault="00242C30" w:rsidP="0079684E">
      <w:pPr>
        <w:jc w:val="both"/>
        <w:rPr>
          <w:rFonts w:cstheme="minorHAnsi"/>
          <w:b/>
        </w:rPr>
      </w:pPr>
      <w:r w:rsidRPr="004F1269">
        <w:rPr>
          <w:rFonts w:cstheme="minorHAnsi"/>
          <w:b/>
        </w:rPr>
        <w:t xml:space="preserve">Bilješka br. 15 </w:t>
      </w:r>
      <w:r w:rsidR="0079684E" w:rsidRPr="004F1269">
        <w:rPr>
          <w:rFonts w:cstheme="minorHAnsi"/>
          <w:b/>
        </w:rPr>
        <w:t>AOP 081</w:t>
      </w:r>
      <w:r w:rsidRPr="004F1269">
        <w:rPr>
          <w:rFonts w:cstheme="minorHAnsi"/>
          <w:b/>
        </w:rPr>
        <w:t xml:space="preserve"> - </w:t>
      </w:r>
      <w:r w:rsidR="0079684E" w:rsidRPr="004F1269">
        <w:rPr>
          <w:rFonts w:cstheme="minorHAnsi"/>
          <w:b/>
        </w:rPr>
        <w:t>Prihodi iz dobiti trgovačkih društava, kreditnih i ostalih financijskih institucija po posebnim propisima</w:t>
      </w:r>
    </w:p>
    <w:p w:rsidR="0079684E" w:rsidRPr="004F1269" w:rsidRDefault="0079684E" w:rsidP="0079684E">
      <w:pPr>
        <w:jc w:val="both"/>
        <w:rPr>
          <w:rFonts w:cstheme="minorHAnsi"/>
        </w:rPr>
      </w:pPr>
      <w:r w:rsidRPr="004F1269">
        <w:rPr>
          <w:rFonts w:cstheme="minorHAnsi"/>
        </w:rPr>
        <w:t xml:space="preserve">Uplatu dijela dobiti u proračun Grada Zagreba u iznosu od 3.532.815,83 kune izvršilo je Trgovačko društvo APIS IT d.o.o. </w:t>
      </w:r>
    </w:p>
    <w:p w:rsidR="00242C30" w:rsidRPr="004F1269" w:rsidRDefault="00242C30" w:rsidP="0079684E">
      <w:pPr>
        <w:jc w:val="both"/>
        <w:rPr>
          <w:rFonts w:cstheme="minorHAnsi"/>
          <w:b/>
        </w:rPr>
      </w:pPr>
    </w:p>
    <w:p w:rsidR="0079684E" w:rsidRPr="004F1269" w:rsidRDefault="00242C30" w:rsidP="0079684E">
      <w:pPr>
        <w:jc w:val="both"/>
        <w:rPr>
          <w:rFonts w:cstheme="minorHAnsi"/>
          <w:b/>
        </w:rPr>
      </w:pPr>
      <w:r w:rsidRPr="004F1269">
        <w:rPr>
          <w:rFonts w:cstheme="minorHAnsi"/>
          <w:b/>
        </w:rPr>
        <w:t>Bilj</w:t>
      </w:r>
      <w:r w:rsidR="00E72083" w:rsidRPr="004F1269">
        <w:rPr>
          <w:rFonts w:cstheme="minorHAnsi"/>
          <w:b/>
        </w:rPr>
        <w:t xml:space="preserve">eška br. 16 </w:t>
      </w:r>
      <w:r w:rsidR="0079684E" w:rsidRPr="004F1269">
        <w:rPr>
          <w:rFonts w:cstheme="minorHAnsi"/>
          <w:b/>
        </w:rPr>
        <w:t>AOP 084</w:t>
      </w:r>
      <w:r w:rsidR="00E72083" w:rsidRPr="004F1269">
        <w:rPr>
          <w:rFonts w:cstheme="minorHAnsi"/>
          <w:b/>
        </w:rPr>
        <w:t xml:space="preserve"> - </w:t>
      </w:r>
      <w:r w:rsidR="0079684E" w:rsidRPr="004F1269">
        <w:rPr>
          <w:rFonts w:cstheme="minorHAnsi"/>
          <w:b/>
        </w:rPr>
        <w:t>Naknade za koncesije</w:t>
      </w:r>
    </w:p>
    <w:p w:rsidR="0079684E" w:rsidRPr="004F1269" w:rsidRDefault="0079684E" w:rsidP="0079684E">
      <w:pPr>
        <w:jc w:val="both"/>
        <w:rPr>
          <w:rFonts w:cstheme="minorHAnsi"/>
        </w:rPr>
      </w:pPr>
      <w:r w:rsidRPr="004F1269">
        <w:rPr>
          <w:rFonts w:cstheme="minorHAnsi"/>
        </w:rPr>
        <w:t xml:space="preserve">Naknade za koncesije čine naknade za: obavljanje javne zdravstvene službe, izgradnju i upravljanje zračnom lukom, gospodarsko korištenje voda, distribuciju plina, distribuciju toplinske energije, </w:t>
      </w:r>
      <w:r w:rsidRPr="004F1269">
        <w:rPr>
          <w:rFonts w:cstheme="minorHAnsi"/>
        </w:rPr>
        <w:lastRenderedPageBreak/>
        <w:t>obavljanje dimnjačarskih usluga, pružanje javne usluge čišćenja septičkih i sabirnih jama i korištenje slobodne zone. Zakonom o zdravstvenoj zaštiti više nije bilo predviđeno sklapanje Ugovora o koncesiji za obavljanje javno zdravstvene službe. Vrijednosno najznačajnija koncesija za izgradnju i upravljanje zračnom lukom uplaćuje se tromjesečno, a u 2019. je uplaćena naknada za zadnje tromjesečje prethodne godine. Zbog negativnih posljedica uzrokovan</w:t>
      </w:r>
      <w:r w:rsidR="00DE021B">
        <w:rPr>
          <w:rFonts w:cstheme="minorHAnsi"/>
        </w:rPr>
        <w:t xml:space="preserve">ih </w:t>
      </w:r>
      <w:proofErr w:type="spellStart"/>
      <w:r w:rsidR="00DE021B">
        <w:rPr>
          <w:rFonts w:cstheme="minorHAnsi"/>
        </w:rPr>
        <w:t>koronavirusom</w:t>
      </w:r>
      <w:proofErr w:type="spellEnd"/>
      <w:r w:rsidR="00DE021B">
        <w:rPr>
          <w:rFonts w:cstheme="minorHAnsi"/>
        </w:rPr>
        <w:t xml:space="preserve"> na poslovanje Z</w:t>
      </w:r>
      <w:r w:rsidRPr="004F1269">
        <w:rPr>
          <w:rFonts w:cstheme="minorHAnsi"/>
        </w:rPr>
        <w:t xml:space="preserve">račne luke, u 2020. je izvršena samo jedna uplata u iznosu od 3.443.685,02 kune.   </w:t>
      </w:r>
    </w:p>
    <w:p w:rsidR="00E72083" w:rsidRPr="004F1269" w:rsidRDefault="00E72083" w:rsidP="0079684E">
      <w:pPr>
        <w:jc w:val="both"/>
        <w:rPr>
          <w:rFonts w:cstheme="minorHAnsi"/>
          <w:b/>
        </w:rPr>
      </w:pPr>
    </w:p>
    <w:p w:rsidR="0079684E" w:rsidRPr="004F1269" w:rsidRDefault="00E72083" w:rsidP="0079684E">
      <w:pPr>
        <w:jc w:val="both"/>
        <w:rPr>
          <w:rFonts w:cstheme="minorHAnsi"/>
          <w:b/>
        </w:rPr>
      </w:pPr>
      <w:r w:rsidRPr="004F1269">
        <w:rPr>
          <w:rFonts w:cstheme="minorHAnsi"/>
          <w:b/>
        </w:rPr>
        <w:t xml:space="preserve">Bilješka br. 17 </w:t>
      </w:r>
      <w:r w:rsidR="0079684E" w:rsidRPr="004F1269">
        <w:rPr>
          <w:rFonts w:cstheme="minorHAnsi"/>
          <w:b/>
        </w:rPr>
        <w:t>AOP 085</w:t>
      </w:r>
      <w:r w:rsidRPr="004F1269">
        <w:rPr>
          <w:rFonts w:cstheme="minorHAnsi"/>
          <w:b/>
        </w:rPr>
        <w:t xml:space="preserve"> - </w:t>
      </w:r>
      <w:r w:rsidR="0079684E" w:rsidRPr="004F1269">
        <w:rPr>
          <w:rFonts w:cstheme="minorHAnsi"/>
          <w:b/>
        </w:rPr>
        <w:t>Prihodi od zakupa i iznajmljivanja imovine</w:t>
      </w:r>
    </w:p>
    <w:p w:rsidR="0079684E" w:rsidRPr="004F1269" w:rsidRDefault="0079684E" w:rsidP="0079684E">
      <w:pPr>
        <w:jc w:val="both"/>
        <w:rPr>
          <w:rFonts w:cstheme="minorHAnsi"/>
        </w:rPr>
      </w:pPr>
      <w:r w:rsidRPr="004F1269">
        <w:rPr>
          <w:rFonts w:cstheme="minorHAnsi"/>
        </w:rPr>
        <w:t xml:space="preserve">Gradska Skupština Grada Zagreba donijela je Odluku o mjerama za ublažavanje negativnih posljedica uzrokovanih </w:t>
      </w:r>
      <w:proofErr w:type="spellStart"/>
      <w:r w:rsidRPr="004F1269">
        <w:rPr>
          <w:rFonts w:cstheme="minorHAnsi"/>
        </w:rPr>
        <w:t>koronavirusom</w:t>
      </w:r>
      <w:proofErr w:type="spellEnd"/>
      <w:r w:rsidRPr="004F1269">
        <w:rPr>
          <w:rFonts w:cstheme="minorHAnsi"/>
        </w:rPr>
        <w:t xml:space="preserve"> COVID-19 na gospodarstvo Grada Zagreba (Službeni glasnik Grada Zagreba br. 6/20, 11/20) i Odluku o mjerama za ublažavanje negativnih posljedica na poslovanje ugostitelja i obrtnika na području uzrokovanih epidemijom (Službeni glasnik Grada Zagreba br. 27/20) kojima su korisnici koji obavljaju djelatnost u poslovnim prostorima Grada Zagreba kao i korisnici javnih površina oslobođeni plaćanja zakupnine, što je posljedično rezultiralo manjim prihodima.</w:t>
      </w:r>
    </w:p>
    <w:p w:rsidR="00E72083" w:rsidRPr="004F1269" w:rsidRDefault="00E72083" w:rsidP="0079684E">
      <w:pPr>
        <w:spacing w:after="0" w:line="240" w:lineRule="auto"/>
        <w:jc w:val="both"/>
        <w:rPr>
          <w:rFonts w:eastAsia="Times New Roman" w:cstheme="minorHAnsi"/>
          <w:b/>
          <w:lang w:eastAsia="hr-HR"/>
        </w:rPr>
      </w:pPr>
    </w:p>
    <w:p w:rsidR="00E72083" w:rsidRPr="004F1269" w:rsidRDefault="00E72083" w:rsidP="0079684E">
      <w:pPr>
        <w:spacing w:after="0" w:line="240" w:lineRule="auto"/>
        <w:jc w:val="both"/>
        <w:rPr>
          <w:rFonts w:eastAsia="Times New Roman" w:cstheme="minorHAnsi"/>
          <w:b/>
          <w:lang w:eastAsia="hr-HR"/>
        </w:rPr>
      </w:pPr>
    </w:p>
    <w:p w:rsidR="0079684E" w:rsidRPr="004F1269" w:rsidRDefault="00E72083" w:rsidP="0079684E">
      <w:pPr>
        <w:spacing w:after="0" w:line="240" w:lineRule="auto"/>
        <w:jc w:val="both"/>
        <w:rPr>
          <w:rFonts w:eastAsia="Times New Roman" w:cstheme="minorHAnsi"/>
          <w:b/>
          <w:lang w:eastAsia="hr-HR"/>
        </w:rPr>
      </w:pPr>
      <w:r w:rsidRPr="004F1269">
        <w:rPr>
          <w:rFonts w:eastAsia="Times New Roman" w:cstheme="minorHAnsi"/>
          <w:b/>
          <w:lang w:eastAsia="hr-HR"/>
        </w:rPr>
        <w:t xml:space="preserve">Bilješka br. 18 </w:t>
      </w:r>
      <w:r w:rsidR="0079684E" w:rsidRPr="004F1269">
        <w:rPr>
          <w:rFonts w:eastAsia="Times New Roman" w:cstheme="minorHAnsi"/>
          <w:b/>
          <w:lang w:eastAsia="hr-HR"/>
        </w:rPr>
        <w:t>AOP 089</w:t>
      </w:r>
      <w:r w:rsidRPr="004F1269">
        <w:rPr>
          <w:rFonts w:eastAsia="Times New Roman" w:cstheme="minorHAnsi"/>
          <w:b/>
          <w:lang w:eastAsia="hr-HR"/>
        </w:rPr>
        <w:t xml:space="preserve"> - </w:t>
      </w:r>
      <w:r w:rsidR="0079684E" w:rsidRPr="004F1269">
        <w:rPr>
          <w:rFonts w:eastAsia="Times New Roman" w:cstheme="minorHAnsi"/>
          <w:b/>
          <w:lang w:eastAsia="hr-HR"/>
        </w:rPr>
        <w:t>Ostali prihodi od nefinancijske imovine</w:t>
      </w:r>
      <w:r w:rsidR="0079684E" w:rsidRPr="004F1269">
        <w:rPr>
          <w:rFonts w:eastAsia="Times New Roman" w:cstheme="minorHAnsi"/>
          <w:lang w:eastAsia="hr-HR"/>
        </w:rPr>
        <w:t xml:space="preserve"> </w:t>
      </w:r>
    </w:p>
    <w:p w:rsidR="0079684E" w:rsidRPr="004F1269" w:rsidRDefault="0079684E" w:rsidP="0079684E">
      <w:pPr>
        <w:spacing w:after="0" w:line="240" w:lineRule="auto"/>
        <w:jc w:val="both"/>
        <w:rPr>
          <w:rFonts w:eastAsia="Times New Roman" w:cstheme="minorHAnsi"/>
          <w:lang w:eastAsia="hr-HR"/>
        </w:rPr>
      </w:pPr>
    </w:p>
    <w:p w:rsidR="0079684E" w:rsidRPr="004F1269" w:rsidRDefault="0079684E" w:rsidP="0079684E">
      <w:pPr>
        <w:spacing w:after="0" w:line="240" w:lineRule="auto"/>
        <w:jc w:val="both"/>
        <w:rPr>
          <w:rFonts w:cstheme="minorHAnsi"/>
          <w:shd w:val="clear" w:color="auto" w:fill="FFFFFF"/>
        </w:rPr>
      </w:pPr>
      <w:r w:rsidRPr="004F1269">
        <w:rPr>
          <w:rFonts w:eastAsia="Times New Roman" w:cstheme="minorHAnsi"/>
          <w:lang w:eastAsia="hr-HR"/>
        </w:rPr>
        <w:t xml:space="preserve">Ostali prihodi od nefinancijske imovine ostvareni su u manjem iznosu nego prethodne godine, a odnose se na prihode od naknade za zadržavanje nezakonito izgrađene zgrade u prostoru. </w:t>
      </w:r>
      <w:r w:rsidRPr="004F1269">
        <w:rPr>
          <w:rFonts w:cstheme="minorHAnsi"/>
        </w:rPr>
        <w:t xml:space="preserve">Obzirom na epidemiološku situaciju i potres, u </w:t>
      </w:r>
      <w:r w:rsidRPr="004F1269">
        <w:rPr>
          <w:rFonts w:cstheme="minorHAnsi"/>
          <w:shd w:val="clear" w:color="auto" w:fill="FFFFFF"/>
        </w:rPr>
        <w:t xml:space="preserve"> 2020. godini smanjene su poslovne aktivnosti subjekata, kao i naplata naknade. </w:t>
      </w:r>
    </w:p>
    <w:p w:rsidR="00A7431C" w:rsidRPr="004F1269" w:rsidRDefault="00A7431C" w:rsidP="0079684E">
      <w:pPr>
        <w:jc w:val="both"/>
        <w:rPr>
          <w:rFonts w:cstheme="minorHAnsi"/>
          <w:b/>
        </w:rPr>
      </w:pPr>
    </w:p>
    <w:p w:rsidR="0079684E" w:rsidRPr="004F1269" w:rsidRDefault="00E72083" w:rsidP="0079684E">
      <w:pPr>
        <w:jc w:val="both"/>
        <w:rPr>
          <w:rFonts w:cstheme="minorHAnsi"/>
          <w:b/>
        </w:rPr>
      </w:pPr>
      <w:r w:rsidRPr="004F1269">
        <w:rPr>
          <w:rFonts w:cstheme="minorHAnsi"/>
          <w:b/>
        </w:rPr>
        <w:t xml:space="preserve">Bilješka br. 19 </w:t>
      </w:r>
      <w:r w:rsidR="0079684E" w:rsidRPr="004F1269">
        <w:rPr>
          <w:rFonts w:cstheme="minorHAnsi"/>
          <w:b/>
        </w:rPr>
        <w:t>AOP 110</w:t>
      </w:r>
      <w:r w:rsidRPr="004F1269">
        <w:rPr>
          <w:rFonts w:cstheme="minorHAnsi"/>
          <w:b/>
        </w:rPr>
        <w:t xml:space="preserve"> - </w:t>
      </w:r>
      <w:r w:rsidR="0079684E" w:rsidRPr="004F1269">
        <w:rPr>
          <w:rFonts w:cstheme="minorHAnsi"/>
          <w:b/>
        </w:rPr>
        <w:t>Ostale pristojbe i naknade</w:t>
      </w:r>
      <w:r w:rsidR="0079684E" w:rsidRPr="004F1269">
        <w:rPr>
          <w:rFonts w:cstheme="minorHAnsi"/>
        </w:rPr>
        <w:t xml:space="preserve"> </w:t>
      </w:r>
    </w:p>
    <w:p w:rsidR="0079684E" w:rsidRPr="004F1269" w:rsidRDefault="0079684E" w:rsidP="0079684E">
      <w:pPr>
        <w:jc w:val="both"/>
        <w:rPr>
          <w:rFonts w:cstheme="minorHAnsi"/>
        </w:rPr>
      </w:pPr>
      <w:r w:rsidRPr="004F1269">
        <w:rPr>
          <w:rFonts w:cstheme="minorHAnsi"/>
        </w:rPr>
        <w:t xml:space="preserve">Ostale pristojbe i naknade odnose se na boravišne pristojbe. Zbog izvanredne epidemiološke situacije s </w:t>
      </w:r>
      <w:proofErr w:type="spellStart"/>
      <w:r w:rsidRPr="004F1269">
        <w:rPr>
          <w:rFonts w:cstheme="minorHAnsi"/>
        </w:rPr>
        <w:t>koronavirusom</w:t>
      </w:r>
      <w:proofErr w:type="spellEnd"/>
      <w:r w:rsidRPr="004F1269">
        <w:rPr>
          <w:rFonts w:cstheme="minorHAnsi"/>
        </w:rPr>
        <w:t xml:space="preserve"> i manjim brojem turista prihodi od turističke pristojbe ostvareni su u manjem iznosu nego prethodne godine. </w:t>
      </w:r>
    </w:p>
    <w:p w:rsidR="00E72083" w:rsidRPr="004F1269" w:rsidRDefault="00E72083" w:rsidP="0079684E">
      <w:pPr>
        <w:jc w:val="both"/>
        <w:rPr>
          <w:rFonts w:cstheme="minorHAnsi"/>
          <w:b/>
        </w:rPr>
      </w:pPr>
    </w:p>
    <w:p w:rsidR="0079684E" w:rsidRPr="004F1269" w:rsidRDefault="00E72083" w:rsidP="0079684E">
      <w:pPr>
        <w:jc w:val="both"/>
        <w:rPr>
          <w:rFonts w:cstheme="minorHAnsi"/>
          <w:b/>
        </w:rPr>
      </w:pPr>
      <w:r w:rsidRPr="004F1269">
        <w:rPr>
          <w:rFonts w:cstheme="minorHAnsi"/>
          <w:b/>
        </w:rPr>
        <w:t xml:space="preserve">Bilješka br. 20 </w:t>
      </w:r>
      <w:r w:rsidR="0079684E" w:rsidRPr="004F1269">
        <w:rPr>
          <w:rFonts w:cstheme="minorHAnsi"/>
          <w:b/>
        </w:rPr>
        <w:t>AOP 113</w:t>
      </w:r>
      <w:r w:rsidRPr="004F1269">
        <w:rPr>
          <w:rFonts w:cstheme="minorHAnsi"/>
          <w:b/>
        </w:rPr>
        <w:t xml:space="preserve"> - </w:t>
      </w:r>
      <w:r w:rsidR="0079684E" w:rsidRPr="004F1269">
        <w:rPr>
          <w:rFonts w:cstheme="minorHAnsi"/>
          <w:b/>
        </w:rPr>
        <w:t>Prihodi vodnog gospodarst</w:t>
      </w:r>
      <w:r w:rsidR="004F1269" w:rsidRPr="004F1269">
        <w:rPr>
          <w:rFonts w:cstheme="minorHAnsi"/>
          <w:b/>
        </w:rPr>
        <w:t>v</w:t>
      </w:r>
      <w:r w:rsidR="0079684E" w:rsidRPr="004F1269">
        <w:rPr>
          <w:rFonts w:cstheme="minorHAnsi"/>
          <w:b/>
        </w:rPr>
        <w:t>a</w:t>
      </w:r>
      <w:r w:rsidR="0079684E" w:rsidRPr="004F1269">
        <w:rPr>
          <w:rFonts w:cstheme="minorHAnsi"/>
        </w:rPr>
        <w:t xml:space="preserve"> </w:t>
      </w:r>
    </w:p>
    <w:p w:rsidR="0079684E" w:rsidRPr="004F1269" w:rsidRDefault="0079684E" w:rsidP="0079684E">
      <w:pPr>
        <w:jc w:val="both"/>
        <w:rPr>
          <w:rFonts w:cstheme="minorHAnsi"/>
          <w:shd w:val="clear" w:color="auto" w:fill="FFFFFF"/>
        </w:rPr>
      </w:pPr>
      <w:r w:rsidRPr="004F1269">
        <w:rPr>
          <w:rFonts w:cstheme="minorHAnsi"/>
        </w:rPr>
        <w:t>Prihodi vodnog gospodarstva odnose se na uplatu vodnog doprinosa koji po Zakonu o financiranju vodnog gospodarstva pripada Gradu u 8%-</w:t>
      </w:r>
      <w:proofErr w:type="spellStart"/>
      <w:r w:rsidRPr="004F1269">
        <w:rPr>
          <w:rFonts w:cstheme="minorHAnsi"/>
        </w:rPr>
        <w:t>tnom</w:t>
      </w:r>
      <w:proofErr w:type="spellEnd"/>
      <w:r w:rsidRPr="004F1269">
        <w:rPr>
          <w:rFonts w:cstheme="minorHAnsi"/>
        </w:rPr>
        <w:t xml:space="preserve"> iznosu i koji se naplaćuje pri legalizaciji građevinskih objekata i izdavanju građevinskih dozvola. Obzirom na epidemiološku situaciju i potres, </w:t>
      </w:r>
      <w:r w:rsidRPr="004F1269">
        <w:rPr>
          <w:rFonts w:cstheme="minorHAnsi"/>
          <w:shd w:val="clear" w:color="auto" w:fill="FFFFFF"/>
        </w:rPr>
        <w:t>u 2020. godini smanjene su poslovne aktivnosti subjekata, kao i naplata vodnog doprinosa.</w:t>
      </w:r>
    </w:p>
    <w:p w:rsidR="004F1269" w:rsidRPr="004F1269" w:rsidRDefault="0079684E" w:rsidP="0079684E">
      <w:pPr>
        <w:jc w:val="both"/>
        <w:rPr>
          <w:rFonts w:cstheme="minorHAnsi"/>
          <w:b/>
        </w:rPr>
      </w:pPr>
      <w:r w:rsidRPr="004F1269">
        <w:rPr>
          <w:rFonts w:cstheme="minorHAnsi"/>
          <w:b/>
        </w:rPr>
        <w:t xml:space="preserve"> </w:t>
      </w:r>
    </w:p>
    <w:p w:rsidR="0079684E" w:rsidRPr="004F1269" w:rsidRDefault="00E72083" w:rsidP="0079684E">
      <w:pPr>
        <w:jc w:val="both"/>
        <w:rPr>
          <w:rFonts w:cstheme="minorHAnsi"/>
          <w:b/>
        </w:rPr>
      </w:pPr>
      <w:r w:rsidRPr="004F1269">
        <w:rPr>
          <w:rFonts w:cstheme="minorHAnsi"/>
          <w:b/>
        </w:rPr>
        <w:t xml:space="preserve">Bilješka br. 21 </w:t>
      </w:r>
      <w:r w:rsidR="0079684E" w:rsidRPr="004F1269">
        <w:rPr>
          <w:rFonts w:cstheme="minorHAnsi"/>
          <w:b/>
        </w:rPr>
        <w:t xml:space="preserve">AOP 114 </w:t>
      </w:r>
      <w:r w:rsidRPr="004F1269">
        <w:rPr>
          <w:rFonts w:cstheme="minorHAnsi"/>
          <w:b/>
        </w:rPr>
        <w:t xml:space="preserve">- </w:t>
      </w:r>
      <w:r w:rsidR="0079684E" w:rsidRPr="004F1269">
        <w:rPr>
          <w:rFonts w:cstheme="minorHAnsi"/>
          <w:b/>
        </w:rPr>
        <w:t>Doprinosi za šume</w:t>
      </w:r>
    </w:p>
    <w:p w:rsidR="0079684E" w:rsidRPr="004F1269" w:rsidRDefault="0079684E" w:rsidP="0079684E">
      <w:pPr>
        <w:jc w:val="both"/>
        <w:rPr>
          <w:rFonts w:cstheme="minorHAnsi"/>
        </w:rPr>
      </w:pPr>
      <w:r w:rsidRPr="004F1269">
        <w:rPr>
          <w:rFonts w:cstheme="minorHAnsi"/>
        </w:rPr>
        <w:t xml:space="preserve">Doprinosi za šume ostvareni su u većem iznosu nego prethodne godine, a u skladu sa Zakonom o šumama koji definira da pravne i fizičke osobe, osim malih </w:t>
      </w:r>
      <w:proofErr w:type="spellStart"/>
      <w:r w:rsidRPr="004F1269">
        <w:rPr>
          <w:rFonts w:cstheme="minorHAnsi"/>
        </w:rPr>
        <w:t>šumoposjednika</w:t>
      </w:r>
      <w:proofErr w:type="spellEnd"/>
      <w:r w:rsidRPr="004F1269">
        <w:rPr>
          <w:rFonts w:cstheme="minorHAnsi"/>
        </w:rPr>
        <w:t>, koji obavljaju prodaju proizvoda iskorištavanja šuma (drvni sortimenti) plaćaju jedinicama lokalne i područne (regionalne) samouprave šumski doprinos u odnosu na prodajnu cijenu proizvoda na panju.</w:t>
      </w:r>
    </w:p>
    <w:p w:rsidR="00E72083" w:rsidRPr="004F1269" w:rsidRDefault="00E72083" w:rsidP="0079684E">
      <w:pPr>
        <w:jc w:val="both"/>
        <w:rPr>
          <w:rFonts w:cstheme="minorHAnsi"/>
          <w:b/>
        </w:rPr>
      </w:pPr>
    </w:p>
    <w:p w:rsidR="00FC742D" w:rsidRDefault="00FC742D" w:rsidP="0079684E">
      <w:pPr>
        <w:jc w:val="both"/>
        <w:rPr>
          <w:rFonts w:cstheme="minorHAnsi"/>
          <w:b/>
        </w:rPr>
      </w:pPr>
    </w:p>
    <w:p w:rsidR="0079684E" w:rsidRPr="004F1269" w:rsidRDefault="00E72083" w:rsidP="0079684E">
      <w:pPr>
        <w:jc w:val="both"/>
        <w:rPr>
          <w:rFonts w:cstheme="minorHAnsi"/>
          <w:b/>
        </w:rPr>
      </w:pPr>
      <w:r w:rsidRPr="004F1269">
        <w:rPr>
          <w:rFonts w:cstheme="minorHAnsi"/>
          <w:b/>
        </w:rPr>
        <w:lastRenderedPageBreak/>
        <w:t xml:space="preserve">Bilješka br. 22 </w:t>
      </w:r>
      <w:r w:rsidR="0079684E" w:rsidRPr="004F1269">
        <w:rPr>
          <w:rFonts w:cstheme="minorHAnsi"/>
          <w:b/>
        </w:rPr>
        <w:t>AOP 116</w:t>
      </w:r>
      <w:r w:rsidRPr="004F1269">
        <w:rPr>
          <w:rFonts w:cstheme="minorHAnsi"/>
          <w:b/>
        </w:rPr>
        <w:t xml:space="preserve"> - </w:t>
      </w:r>
      <w:r w:rsidR="0079684E" w:rsidRPr="004F1269">
        <w:rPr>
          <w:rFonts w:cstheme="minorHAnsi"/>
          <w:b/>
        </w:rPr>
        <w:t>Ostali nespomenuti prihodi</w:t>
      </w:r>
      <w:r w:rsidR="0079684E" w:rsidRPr="004F1269">
        <w:rPr>
          <w:rFonts w:cstheme="minorHAnsi"/>
        </w:rPr>
        <w:t xml:space="preserve"> </w:t>
      </w:r>
    </w:p>
    <w:p w:rsidR="0079684E" w:rsidRPr="004F1269" w:rsidRDefault="0079684E" w:rsidP="0079684E">
      <w:pPr>
        <w:jc w:val="both"/>
        <w:rPr>
          <w:rFonts w:cstheme="minorHAnsi"/>
        </w:rPr>
      </w:pPr>
      <w:r w:rsidRPr="004F1269">
        <w:rPr>
          <w:rFonts w:cstheme="minorHAnsi"/>
        </w:rPr>
        <w:t xml:space="preserve">Ostali nespomenuti prihodi obuhvaćaju sufinanciranje u cijeni programa predškolskog odgoja, sufinanciranje obnove pročelja </w:t>
      </w:r>
      <w:proofErr w:type="spellStart"/>
      <w:r w:rsidRPr="004F1269">
        <w:rPr>
          <w:rFonts w:cstheme="minorHAnsi"/>
        </w:rPr>
        <w:t>višestambenih</w:t>
      </w:r>
      <w:proofErr w:type="spellEnd"/>
      <w:r w:rsidRPr="004F1269">
        <w:rPr>
          <w:rFonts w:cstheme="minorHAnsi"/>
        </w:rPr>
        <w:t xml:space="preserve"> zgrada, prihode iz cijene komunalne usluge po ranije zaključenim ugovorima i ostale nespomenute prihode po posebnim propisima. </w:t>
      </w:r>
    </w:p>
    <w:p w:rsidR="0079684E" w:rsidRPr="004F1269" w:rsidRDefault="0079684E" w:rsidP="0079684E">
      <w:pPr>
        <w:jc w:val="both"/>
        <w:rPr>
          <w:rFonts w:cstheme="minorHAnsi"/>
        </w:rPr>
      </w:pPr>
      <w:r w:rsidRPr="004F1269">
        <w:rPr>
          <w:rFonts w:cstheme="minorHAnsi"/>
        </w:rPr>
        <w:t xml:space="preserve">Jedna od mjera Grada Zagreba za vrijeme izvanredne epidemiološke situacije izazvane </w:t>
      </w:r>
      <w:proofErr w:type="spellStart"/>
      <w:r w:rsidRPr="004F1269">
        <w:rPr>
          <w:rFonts w:cstheme="minorHAnsi"/>
        </w:rPr>
        <w:t>koronavirusom</w:t>
      </w:r>
      <w:proofErr w:type="spellEnd"/>
      <w:r w:rsidRPr="004F1269">
        <w:rPr>
          <w:rFonts w:cstheme="minorHAnsi"/>
        </w:rPr>
        <w:t xml:space="preserve">  bila je i neplaćanje vrtića te su stoga manji prihodi s te osnove nego prethodne godine. Isto tako, značajno su smanjeni prihodi po ugovorima za sufinanciranja obnove pročelja i obnove zgrada.</w:t>
      </w:r>
    </w:p>
    <w:p w:rsidR="00E72083" w:rsidRPr="004F1269" w:rsidRDefault="00E72083" w:rsidP="0079684E">
      <w:pPr>
        <w:jc w:val="both"/>
        <w:rPr>
          <w:rFonts w:cstheme="minorHAnsi"/>
          <w:b/>
        </w:rPr>
      </w:pPr>
    </w:p>
    <w:p w:rsidR="0079684E" w:rsidRPr="004F1269" w:rsidRDefault="00E72083" w:rsidP="0079684E">
      <w:pPr>
        <w:jc w:val="both"/>
        <w:rPr>
          <w:rFonts w:cstheme="minorHAnsi"/>
        </w:rPr>
      </w:pPr>
      <w:r w:rsidRPr="004F1269">
        <w:rPr>
          <w:rFonts w:cstheme="minorHAnsi"/>
          <w:b/>
        </w:rPr>
        <w:t xml:space="preserve">Bilješka 23 </w:t>
      </w:r>
      <w:r w:rsidR="0079684E" w:rsidRPr="004F1269">
        <w:rPr>
          <w:rFonts w:cstheme="minorHAnsi"/>
          <w:b/>
        </w:rPr>
        <w:t>AOP 117</w:t>
      </w:r>
      <w:r w:rsidRPr="004F1269">
        <w:rPr>
          <w:rFonts w:cstheme="minorHAnsi"/>
          <w:b/>
        </w:rPr>
        <w:t xml:space="preserve"> - </w:t>
      </w:r>
      <w:r w:rsidR="0079684E" w:rsidRPr="004F1269">
        <w:rPr>
          <w:rFonts w:cstheme="minorHAnsi"/>
          <w:b/>
        </w:rPr>
        <w:t>Naknade od financijske imovine</w:t>
      </w:r>
    </w:p>
    <w:p w:rsidR="0079684E" w:rsidRPr="004F1269" w:rsidRDefault="0079684E" w:rsidP="0079684E">
      <w:pPr>
        <w:jc w:val="both"/>
        <w:rPr>
          <w:rFonts w:cstheme="minorHAnsi"/>
        </w:rPr>
      </w:pPr>
      <w:r w:rsidRPr="004F1269">
        <w:rPr>
          <w:rFonts w:cstheme="minorHAnsi"/>
        </w:rPr>
        <w:t xml:space="preserve">Naknade od financijske imovine odnose se na naknade koje uplaćuje Zagrebački Holding za izdana jamstva. U 2020. </w:t>
      </w:r>
      <w:r w:rsidRPr="004F1269">
        <w:rPr>
          <w:rFonts w:cstheme="minorHAnsi"/>
          <w:bCs/>
        </w:rPr>
        <w:t>uplata iste nije realizirana od strane Zagrebačkog Holdinga d.o.o. zbog postojanja većeg broja otvorenih stavaka (obveza) u 2020. prema Zagrebačkom holdingu.  </w:t>
      </w:r>
    </w:p>
    <w:p w:rsidR="0079684E" w:rsidRPr="004F1269" w:rsidRDefault="0079684E" w:rsidP="0079684E">
      <w:pPr>
        <w:jc w:val="both"/>
        <w:rPr>
          <w:rFonts w:cstheme="minorHAnsi"/>
        </w:rPr>
      </w:pPr>
    </w:p>
    <w:p w:rsidR="0079684E" w:rsidRPr="004F1269" w:rsidRDefault="00E72083" w:rsidP="0079684E">
      <w:pPr>
        <w:jc w:val="both"/>
        <w:rPr>
          <w:rFonts w:cstheme="minorHAnsi"/>
          <w:b/>
        </w:rPr>
      </w:pPr>
      <w:r w:rsidRPr="004F1269">
        <w:rPr>
          <w:rFonts w:cstheme="minorHAnsi"/>
          <w:b/>
        </w:rPr>
        <w:t xml:space="preserve">Bilješka br. 24 </w:t>
      </w:r>
      <w:r w:rsidR="0079684E" w:rsidRPr="004F1269">
        <w:rPr>
          <w:rFonts w:cstheme="minorHAnsi"/>
          <w:b/>
        </w:rPr>
        <w:t>AOP 120</w:t>
      </w:r>
      <w:r w:rsidRPr="004F1269">
        <w:rPr>
          <w:rFonts w:cstheme="minorHAnsi"/>
          <w:b/>
        </w:rPr>
        <w:t xml:space="preserve"> - </w:t>
      </w:r>
      <w:r w:rsidR="0079684E" w:rsidRPr="004F1269">
        <w:rPr>
          <w:rFonts w:cstheme="minorHAnsi"/>
          <w:b/>
        </w:rPr>
        <w:t>Komunalni doprinosi</w:t>
      </w:r>
    </w:p>
    <w:p w:rsidR="0079684E" w:rsidRPr="004F1269" w:rsidRDefault="0079684E" w:rsidP="0079684E">
      <w:pPr>
        <w:jc w:val="both"/>
        <w:rPr>
          <w:rFonts w:cstheme="minorHAnsi"/>
        </w:rPr>
      </w:pPr>
      <w:r w:rsidRPr="004F1269">
        <w:rPr>
          <w:rFonts w:cstheme="minorHAnsi"/>
        </w:rPr>
        <w:t xml:space="preserve">Obzirom na epidemiološku situaciju i potres, </w:t>
      </w:r>
      <w:r w:rsidRPr="004F1269">
        <w:rPr>
          <w:rFonts w:cstheme="minorHAnsi"/>
          <w:shd w:val="clear" w:color="auto" w:fill="FFFFFF"/>
        </w:rPr>
        <w:t>u 2020. godini smanjene su poslovne aktivnosti subjekata, kao i naplata komunalnog doprinosa. Ove godine izvršen je i povrat uplaćenih sredstava u iznosu od 13.918.032,19 kuna, dok je u prethodnoj godini izvršen povrat u iznosu od 340.951,17 kn. Prethodne godine naplaćeno je nekoliko velikih projekata, kojih ove godine nije bilo.</w:t>
      </w:r>
    </w:p>
    <w:p w:rsidR="00E72083" w:rsidRPr="004F1269" w:rsidRDefault="00E72083" w:rsidP="0079684E">
      <w:pPr>
        <w:jc w:val="both"/>
        <w:rPr>
          <w:rFonts w:cstheme="minorHAnsi"/>
          <w:b/>
        </w:rPr>
      </w:pPr>
    </w:p>
    <w:p w:rsidR="0079684E" w:rsidRPr="004F1269" w:rsidRDefault="00E72083" w:rsidP="0079684E">
      <w:pPr>
        <w:jc w:val="both"/>
        <w:rPr>
          <w:rFonts w:cstheme="minorHAnsi"/>
          <w:b/>
        </w:rPr>
      </w:pPr>
      <w:r w:rsidRPr="004F1269">
        <w:rPr>
          <w:rFonts w:cstheme="minorHAnsi"/>
          <w:b/>
        </w:rPr>
        <w:t xml:space="preserve">Bilješka br. 25 </w:t>
      </w:r>
      <w:r w:rsidR="0079684E" w:rsidRPr="004F1269">
        <w:rPr>
          <w:rFonts w:cstheme="minorHAnsi"/>
          <w:b/>
        </w:rPr>
        <w:t>AOP 121</w:t>
      </w:r>
      <w:r w:rsidRPr="004F1269">
        <w:rPr>
          <w:rFonts w:cstheme="minorHAnsi"/>
          <w:b/>
        </w:rPr>
        <w:t xml:space="preserve"> - </w:t>
      </w:r>
      <w:r w:rsidR="0079684E" w:rsidRPr="004F1269">
        <w:rPr>
          <w:rFonts w:cstheme="minorHAnsi"/>
          <w:b/>
        </w:rPr>
        <w:t>Komunalne naknade</w:t>
      </w:r>
      <w:r w:rsidR="0079684E" w:rsidRPr="004F1269">
        <w:rPr>
          <w:rFonts w:cstheme="minorHAnsi"/>
        </w:rPr>
        <w:t xml:space="preserve"> </w:t>
      </w:r>
    </w:p>
    <w:p w:rsidR="0079684E" w:rsidRPr="004F1269" w:rsidRDefault="0079684E" w:rsidP="0079684E">
      <w:pPr>
        <w:jc w:val="both"/>
        <w:rPr>
          <w:rFonts w:cstheme="minorHAnsi"/>
        </w:rPr>
      </w:pPr>
      <w:r w:rsidRPr="004F1269">
        <w:rPr>
          <w:rFonts w:cstheme="minorHAnsi"/>
        </w:rPr>
        <w:t xml:space="preserve">Gradska Skupština Grada Zagreba donijela je Odluku o mjerama za ublažavanje negativnih posljedica uzrokovanih </w:t>
      </w:r>
      <w:proofErr w:type="spellStart"/>
      <w:r w:rsidRPr="004F1269">
        <w:rPr>
          <w:rFonts w:cstheme="minorHAnsi"/>
        </w:rPr>
        <w:t>koronavirusom</w:t>
      </w:r>
      <w:proofErr w:type="spellEnd"/>
      <w:r w:rsidRPr="004F1269">
        <w:rPr>
          <w:rFonts w:cstheme="minorHAnsi"/>
        </w:rPr>
        <w:t xml:space="preserve"> COVID-19 na gospodarstvo Grada Zagreba (Službeni glasnik Grada Zagreba br. 6/20 i 11/20) i Odluku o mjerama za ublažavanje negativnih posljedica na poslovanje ugostitelja i obrtnika na području uzrokovanih epidemijom (Službeni glasnik Grada Zagreba br. 27/20) kojima je poduzetnicima koji su obveznici komunalne naknade za poslovni prostor i građevinsko zemljište koje služi obavljanju poslovne djelatnosti umanjena komunalna naknada za 30%, što ima za posljedicu niže prihode.</w:t>
      </w:r>
    </w:p>
    <w:p w:rsidR="004F1269" w:rsidRPr="004F1269" w:rsidRDefault="004F1269" w:rsidP="0079684E">
      <w:pPr>
        <w:rPr>
          <w:rFonts w:cstheme="minorHAnsi"/>
          <w:b/>
        </w:rPr>
      </w:pPr>
    </w:p>
    <w:p w:rsidR="0079684E" w:rsidRPr="004F1269" w:rsidRDefault="00E72083" w:rsidP="00E72083">
      <w:pPr>
        <w:rPr>
          <w:rFonts w:cstheme="minorHAnsi"/>
          <w:b/>
        </w:rPr>
      </w:pPr>
      <w:r w:rsidRPr="004F1269">
        <w:rPr>
          <w:rFonts w:cstheme="minorHAnsi"/>
          <w:b/>
        </w:rPr>
        <w:t xml:space="preserve">Bilješka br. 26 </w:t>
      </w:r>
      <w:r w:rsidR="0079684E" w:rsidRPr="004F1269">
        <w:rPr>
          <w:rFonts w:cstheme="minorHAnsi"/>
          <w:b/>
        </w:rPr>
        <w:t>AOP 122</w:t>
      </w:r>
      <w:r w:rsidRPr="004F1269">
        <w:rPr>
          <w:rFonts w:cstheme="minorHAnsi"/>
          <w:b/>
        </w:rPr>
        <w:t xml:space="preserve"> - </w:t>
      </w:r>
      <w:r w:rsidR="0079684E" w:rsidRPr="004F1269">
        <w:rPr>
          <w:rFonts w:cstheme="minorHAnsi"/>
          <w:b/>
        </w:rPr>
        <w:t>Naknade za priključak</w:t>
      </w:r>
      <w:r w:rsidR="0079684E" w:rsidRPr="004F1269">
        <w:rPr>
          <w:rFonts w:cstheme="minorHAnsi"/>
        </w:rPr>
        <w:t xml:space="preserve"> </w:t>
      </w:r>
    </w:p>
    <w:p w:rsidR="0079684E" w:rsidRPr="004F1269" w:rsidRDefault="0079684E" w:rsidP="0079684E">
      <w:pPr>
        <w:jc w:val="both"/>
        <w:rPr>
          <w:rFonts w:cstheme="minorHAnsi"/>
        </w:rPr>
      </w:pPr>
      <w:r w:rsidRPr="004F1269">
        <w:rPr>
          <w:rFonts w:cstheme="minorHAnsi"/>
        </w:rPr>
        <w:t xml:space="preserve">Naknade za priključivanje na komunalnu infrastrukturu ostvaruju se po osnovi potraživanja po ranije zaključenim ugovorima. Izmjenama Odluke o priključivanju na komunalne vodne građevine (Službeni glasnik 25/13) brisane su odredbe o plaćanju naknade. </w:t>
      </w:r>
    </w:p>
    <w:p w:rsidR="00E72083" w:rsidRPr="004F1269" w:rsidRDefault="00E72083" w:rsidP="0079684E">
      <w:pPr>
        <w:jc w:val="both"/>
        <w:rPr>
          <w:rFonts w:cstheme="minorHAnsi"/>
          <w:b/>
        </w:rPr>
      </w:pPr>
    </w:p>
    <w:p w:rsidR="0079684E" w:rsidRPr="004F1269" w:rsidRDefault="00E72083" w:rsidP="0079684E">
      <w:pPr>
        <w:jc w:val="both"/>
        <w:rPr>
          <w:rFonts w:cstheme="minorHAnsi"/>
          <w:b/>
        </w:rPr>
      </w:pPr>
      <w:r w:rsidRPr="004F1269">
        <w:rPr>
          <w:rFonts w:cstheme="minorHAnsi"/>
          <w:b/>
        </w:rPr>
        <w:t xml:space="preserve">Bilješka br. 27 </w:t>
      </w:r>
      <w:r w:rsidR="0079684E" w:rsidRPr="004F1269">
        <w:rPr>
          <w:rFonts w:cstheme="minorHAnsi"/>
          <w:b/>
        </w:rPr>
        <w:t>AOP 128</w:t>
      </w:r>
      <w:r w:rsidRPr="004F1269">
        <w:rPr>
          <w:rFonts w:cstheme="minorHAnsi"/>
          <w:b/>
        </w:rPr>
        <w:t xml:space="preserve"> - </w:t>
      </w:r>
      <w:r w:rsidR="0079684E" w:rsidRPr="004F1269">
        <w:rPr>
          <w:rFonts w:cstheme="minorHAnsi"/>
          <w:b/>
        </w:rPr>
        <w:t>Tekuće donacije</w:t>
      </w:r>
    </w:p>
    <w:p w:rsidR="0079684E" w:rsidRPr="004F1269" w:rsidRDefault="0079684E" w:rsidP="0079684E">
      <w:pPr>
        <w:jc w:val="both"/>
        <w:rPr>
          <w:rFonts w:cstheme="minorHAnsi"/>
        </w:rPr>
      </w:pPr>
      <w:r w:rsidRPr="004F1269">
        <w:rPr>
          <w:rFonts w:cstheme="minorHAnsi"/>
        </w:rPr>
        <w:t xml:space="preserve">Povećanje prihoda od tekućih donacija u 2020. većim dijelom je rezultat  uplata za sanaciju šteta uzrokovanih potresom u Gradu Zagrebu 22.ožujka, a manjim dijelom uplata za ublažavanje negativnih posljedica uzrokovanih </w:t>
      </w:r>
      <w:proofErr w:type="spellStart"/>
      <w:r w:rsidRPr="004F1269">
        <w:rPr>
          <w:rFonts w:cstheme="minorHAnsi"/>
        </w:rPr>
        <w:t>koronavirusom</w:t>
      </w:r>
      <w:proofErr w:type="spellEnd"/>
      <w:r w:rsidRPr="004F1269">
        <w:rPr>
          <w:rFonts w:cstheme="minorHAnsi"/>
        </w:rPr>
        <w:t>.</w:t>
      </w:r>
    </w:p>
    <w:p w:rsidR="00E72083" w:rsidRPr="004F1269" w:rsidRDefault="00E72083" w:rsidP="0079684E">
      <w:pPr>
        <w:jc w:val="both"/>
        <w:rPr>
          <w:rFonts w:cstheme="minorHAnsi"/>
          <w:b/>
        </w:rPr>
      </w:pPr>
    </w:p>
    <w:p w:rsidR="0079684E" w:rsidRPr="004F1269" w:rsidRDefault="00E72083" w:rsidP="0079684E">
      <w:pPr>
        <w:jc w:val="both"/>
        <w:rPr>
          <w:rFonts w:cstheme="minorHAnsi"/>
        </w:rPr>
      </w:pPr>
      <w:r w:rsidRPr="004F1269">
        <w:rPr>
          <w:rFonts w:cstheme="minorHAnsi"/>
          <w:b/>
        </w:rPr>
        <w:lastRenderedPageBreak/>
        <w:t xml:space="preserve">Bilješka br. 28 </w:t>
      </w:r>
      <w:r w:rsidR="0079684E" w:rsidRPr="004F1269">
        <w:rPr>
          <w:rFonts w:cstheme="minorHAnsi"/>
          <w:b/>
        </w:rPr>
        <w:t>AOP 147</w:t>
      </w:r>
      <w:r w:rsidRPr="004F1269">
        <w:rPr>
          <w:rFonts w:cstheme="minorHAnsi"/>
          <w:b/>
        </w:rPr>
        <w:t xml:space="preserve"> - </w:t>
      </w:r>
      <w:r w:rsidR="0079684E" w:rsidRPr="004F1269">
        <w:rPr>
          <w:rFonts w:cstheme="minorHAnsi"/>
          <w:b/>
        </w:rPr>
        <w:t>Ostali prihodi</w:t>
      </w:r>
      <w:r w:rsidR="0079684E" w:rsidRPr="004F1269">
        <w:rPr>
          <w:rFonts w:cstheme="minorHAnsi"/>
        </w:rPr>
        <w:t xml:space="preserve"> </w:t>
      </w:r>
    </w:p>
    <w:p w:rsidR="0079684E" w:rsidRPr="004F1269" w:rsidRDefault="0079684E" w:rsidP="0079684E">
      <w:pPr>
        <w:jc w:val="both"/>
        <w:rPr>
          <w:rFonts w:cstheme="minorHAnsi"/>
        </w:rPr>
      </w:pPr>
      <w:r w:rsidRPr="004F1269">
        <w:rPr>
          <w:rFonts w:cstheme="minorHAnsi"/>
        </w:rPr>
        <w:t xml:space="preserve">Ostali prihodi obuhvaćaju povrate u proračun, povrate neutrošenih sredstava proračunskih korisnika, povrate režijskih troškova, prihode koje ostvaruje Gradski ured za katastar, naplaćene troškove postupaka za naplatu potraživanja, prihode od kuhinja i ostale manje prihode. U 2020. izvršen je povrat ZET-a za troškove izgradnje žičare plaćene sa računa proračuna u iznosu od 52.213.133,00 kune te su provedene kompenzacije po računima ZET-a kojima je zatvoreno potraživanje Grada za iznose primljenih faktura koje su 2019. evidentirane na teret Grada u iznosu od 58.267.119,00 kuna. Izvršen je i povrat u korist proračuna u iznosu od 27.818.662,66 kuna za dio koji se mora platiti po obvezi iz Ugovora o cesiji Erste banci za dio subvencije za prosinac 2019. </w:t>
      </w:r>
    </w:p>
    <w:p w:rsidR="00B069EC" w:rsidRPr="004F1269" w:rsidRDefault="00B069EC" w:rsidP="005E4779">
      <w:pPr>
        <w:autoSpaceDE w:val="0"/>
        <w:autoSpaceDN w:val="0"/>
        <w:adjustRightInd w:val="0"/>
        <w:spacing w:after="0" w:line="240" w:lineRule="auto"/>
        <w:jc w:val="both"/>
        <w:rPr>
          <w:rFonts w:ascii="Arial" w:hAnsi="Arial" w:cs="Arial"/>
        </w:rPr>
      </w:pPr>
    </w:p>
    <w:p w:rsidR="00E30A88" w:rsidRPr="00F621FB" w:rsidRDefault="00DC754E" w:rsidP="005E4779">
      <w:pPr>
        <w:autoSpaceDE w:val="0"/>
        <w:autoSpaceDN w:val="0"/>
        <w:adjustRightInd w:val="0"/>
        <w:spacing w:after="0" w:line="240" w:lineRule="auto"/>
        <w:jc w:val="both"/>
        <w:rPr>
          <w:rFonts w:asciiTheme="majorHAnsi" w:hAnsiTheme="majorHAnsi" w:cstheme="majorHAnsi"/>
          <w:b/>
          <w:u w:val="single"/>
        </w:rPr>
      </w:pPr>
      <w:r w:rsidRPr="00F621FB">
        <w:rPr>
          <w:rFonts w:asciiTheme="majorHAnsi" w:hAnsiTheme="majorHAnsi" w:cstheme="majorHAnsi"/>
          <w:b/>
          <w:u w:val="single"/>
        </w:rPr>
        <w:t xml:space="preserve"> RASHODI POSLOVANJA</w:t>
      </w:r>
    </w:p>
    <w:p w:rsidR="00F621FB" w:rsidRPr="00F621FB" w:rsidRDefault="00F621FB" w:rsidP="005E4779">
      <w:pPr>
        <w:autoSpaceDE w:val="0"/>
        <w:autoSpaceDN w:val="0"/>
        <w:adjustRightInd w:val="0"/>
        <w:spacing w:after="0" w:line="240" w:lineRule="auto"/>
        <w:jc w:val="both"/>
        <w:rPr>
          <w:rFonts w:asciiTheme="majorHAnsi" w:hAnsiTheme="majorHAnsi" w:cstheme="majorHAnsi"/>
          <w:b/>
          <w:u w:val="single"/>
        </w:rPr>
      </w:pPr>
    </w:p>
    <w:p w:rsidR="0079684E" w:rsidRDefault="0079684E" w:rsidP="0079684E">
      <w:pPr>
        <w:autoSpaceDE w:val="0"/>
        <w:spacing w:after="0"/>
        <w:jc w:val="both"/>
      </w:pPr>
      <w:r>
        <w:rPr>
          <w:rFonts w:ascii="Calibri Light" w:hAnsi="Calibri Light" w:cs="Calibri Light"/>
          <w:b/>
        </w:rPr>
        <w:t>Bilješka br.2</w:t>
      </w:r>
      <w:r w:rsidR="00E72083">
        <w:rPr>
          <w:rFonts w:ascii="Calibri Light" w:hAnsi="Calibri Light" w:cs="Calibri Light"/>
          <w:b/>
        </w:rPr>
        <w:t>8</w:t>
      </w:r>
      <w:r w:rsidR="002C7A08">
        <w:rPr>
          <w:rFonts w:ascii="Calibri Light" w:hAnsi="Calibri Light" w:cs="Calibri Light"/>
        </w:rPr>
        <w:t xml:space="preserve"> -</w:t>
      </w:r>
      <w:r>
        <w:rPr>
          <w:rFonts w:ascii="Calibri Light" w:hAnsi="Calibri Light" w:cs="Calibri Light"/>
        </w:rPr>
        <w:t xml:space="preserve"> </w:t>
      </w:r>
      <w:r>
        <w:rPr>
          <w:rFonts w:ascii="Calibri Light" w:hAnsi="Calibri Light" w:cs="Calibri Light"/>
          <w:b/>
        </w:rPr>
        <w:t>AOP 148 Rashodi poslovanja</w:t>
      </w:r>
    </w:p>
    <w:p w:rsidR="0079684E" w:rsidRDefault="0079684E" w:rsidP="0079684E">
      <w:pPr>
        <w:autoSpaceDE w:val="0"/>
        <w:spacing w:after="0"/>
        <w:jc w:val="both"/>
        <w:rPr>
          <w:rFonts w:cs="Calibri"/>
          <w:b/>
          <w:u w:val="single"/>
        </w:rPr>
      </w:pPr>
    </w:p>
    <w:p w:rsidR="0079684E" w:rsidRPr="00BE5F8A" w:rsidRDefault="0079684E" w:rsidP="0079684E">
      <w:pPr>
        <w:autoSpaceDE w:val="0"/>
        <w:spacing w:after="0"/>
        <w:jc w:val="both"/>
      </w:pPr>
      <w:r>
        <w:rPr>
          <w:rFonts w:cs="Calibri"/>
          <w:bCs/>
        </w:rPr>
        <w:t>Rashodi poslovanja</w:t>
      </w:r>
      <w:r>
        <w:rPr>
          <w:rFonts w:cs="Calibri"/>
          <w:b/>
          <w:bCs/>
        </w:rPr>
        <w:t xml:space="preserve"> </w:t>
      </w:r>
      <w:r>
        <w:rPr>
          <w:rFonts w:cs="Calibri"/>
        </w:rPr>
        <w:t>ostvareni su u ukupnom iznosu od 7.125.093.225 kn, što je samo  1% više u odnosu na prethodnu godinu.</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Tablica 2: Rashodi poslovanja</w:t>
      </w:r>
    </w:p>
    <w:p w:rsidR="0079684E" w:rsidRDefault="0079684E" w:rsidP="0079684E">
      <w:pPr>
        <w:autoSpaceDE w:val="0"/>
        <w:spacing w:after="0"/>
        <w:jc w:val="both"/>
        <w:rPr>
          <w:rFonts w:cs="Calibri"/>
          <w:b/>
          <w:u w:val="single"/>
        </w:rPr>
      </w:pPr>
    </w:p>
    <w:tbl>
      <w:tblPr>
        <w:tblW w:w="8012" w:type="dxa"/>
        <w:jc w:val="center"/>
        <w:tblCellMar>
          <w:left w:w="10" w:type="dxa"/>
          <w:right w:w="10" w:type="dxa"/>
        </w:tblCellMar>
        <w:tblLook w:val="0000" w:firstRow="0" w:lastRow="0" w:firstColumn="0" w:lastColumn="0" w:noHBand="0" w:noVBand="0"/>
      </w:tblPr>
      <w:tblGrid>
        <w:gridCol w:w="651"/>
        <w:gridCol w:w="3030"/>
        <w:gridCol w:w="533"/>
        <w:gridCol w:w="1533"/>
        <w:gridCol w:w="1565"/>
        <w:gridCol w:w="700"/>
      </w:tblGrid>
      <w:tr w:rsidR="0079684E" w:rsidTr="0079684E">
        <w:trPr>
          <w:trHeight w:val="416"/>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6"/>
                <w:szCs w:val="16"/>
              </w:rPr>
            </w:pPr>
            <w:r>
              <w:rPr>
                <w:rFonts w:cs="Calibri"/>
                <w:sz w:val="16"/>
                <w:szCs w:val="16"/>
              </w:rPr>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OPIS</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AOP</w:t>
            </w:r>
          </w:p>
        </w:tc>
        <w:tc>
          <w:tcPr>
            <w:tcW w:w="153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Ostvareno prethodne godine</w:t>
            </w:r>
          </w:p>
        </w:tc>
        <w:tc>
          <w:tcPr>
            <w:tcW w:w="15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Ostvareno u tekućem razdoblju</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6"/>
                <w:szCs w:val="16"/>
              </w:rPr>
            </w:pPr>
            <w:r>
              <w:rPr>
                <w:rFonts w:cs="Calibri"/>
                <w:sz w:val="16"/>
                <w:szCs w:val="16"/>
              </w:rPr>
              <w:t>INDEKS</w:t>
            </w:r>
          </w:p>
        </w:tc>
      </w:tr>
      <w:tr w:rsidR="0079684E" w:rsidTr="0079684E">
        <w:trPr>
          <w:trHeight w:val="21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2</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6</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RASHODI POSLOVANJA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148</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7.077.073.286</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7.125.093.225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101</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31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RASHODI ZA ZAPOSLENE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149</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573.784.394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611.394.568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107</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32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MATERIJALNI RASHODI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160</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1.981.204.444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1.920.688.968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97</w:t>
            </w:r>
          </w:p>
        </w:tc>
      </w:tr>
      <w:tr w:rsidR="0079684E" w:rsidTr="0079684E">
        <w:trPr>
          <w:trHeight w:val="54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34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FINANCIJSKI RASHODI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193</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56.549.019</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49.784.066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88</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35</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SUBVENCIJE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212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836.663.329</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867.173.919</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104</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36</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POMOĆI DANE U INOZEMSTVO I UNUTAR OPĆEG PRORAČUNA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221</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2.141.513.329</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2.336.375.286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109</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37</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84E" w:rsidRDefault="0079684E" w:rsidP="0079684E">
            <w:pPr>
              <w:autoSpaceDE w:val="0"/>
              <w:spacing w:after="0"/>
              <w:jc w:val="both"/>
              <w:rPr>
                <w:rFonts w:cs="Calibri"/>
                <w:sz w:val="18"/>
                <w:szCs w:val="18"/>
              </w:rPr>
            </w:pPr>
            <w:r>
              <w:rPr>
                <w:rFonts w:cs="Calibri"/>
                <w:sz w:val="18"/>
                <w:szCs w:val="18"/>
              </w:rPr>
              <w:t>NAKNADE GRAĐANIMA I KUĆANSTVIMA NA TEMELJU OSIGURANJA I DRUGE NAKNADE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246</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719.023.132</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767.872.775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107</w:t>
            </w:r>
          </w:p>
        </w:tc>
      </w:tr>
      <w:tr w:rsidR="0079684E" w:rsidTr="0079684E">
        <w:trPr>
          <w:trHeight w:val="57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38</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OSTALI RASHODI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257</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768.335.639</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571.803.643</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74</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381</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Tekuće donacije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258</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416.299.227</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364.075.113</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87</w:t>
            </w:r>
          </w:p>
        </w:tc>
      </w:tr>
      <w:tr w:rsidR="0079684E" w:rsidTr="0079684E">
        <w:trPr>
          <w:trHeight w:val="62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382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Kapitalne donacije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 xml:space="preserve">    262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35.364.012</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33.210.431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94</w:t>
            </w:r>
          </w:p>
        </w:tc>
      </w:tr>
      <w:tr w:rsidR="0079684E" w:rsidTr="0079684E">
        <w:trPr>
          <w:trHeight w:val="45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383</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Kazne, penali i naknade štete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p>
          <w:p w:rsidR="0079684E" w:rsidRDefault="0079684E" w:rsidP="0079684E">
            <w:pPr>
              <w:autoSpaceDE w:val="0"/>
              <w:spacing w:after="0"/>
              <w:jc w:val="both"/>
              <w:rPr>
                <w:rFonts w:cs="Calibri"/>
                <w:sz w:val="18"/>
                <w:szCs w:val="18"/>
              </w:rPr>
            </w:pPr>
            <w:r>
              <w:rPr>
                <w:rFonts w:cs="Calibri"/>
                <w:sz w:val="18"/>
                <w:szCs w:val="18"/>
              </w:rPr>
              <w:t>266</w:t>
            </w:r>
          </w:p>
          <w:p w:rsidR="0079684E" w:rsidRDefault="0079684E" w:rsidP="0079684E">
            <w:pPr>
              <w:autoSpaceDE w:val="0"/>
              <w:spacing w:after="0"/>
              <w:jc w:val="both"/>
              <w:rPr>
                <w:rFonts w:cs="Calibri"/>
                <w:sz w:val="18"/>
                <w:szCs w:val="18"/>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38.162.584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17.784.934</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46</w:t>
            </w:r>
          </w:p>
        </w:tc>
      </w:tr>
      <w:tr w:rsidR="0079684E" w:rsidTr="0079684E">
        <w:trPr>
          <w:trHeight w:val="46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386</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Kapitalne pomoći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272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278.509.816</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156.733.165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right"/>
              <w:rPr>
                <w:rFonts w:cs="Calibri"/>
                <w:sz w:val="18"/>
                <w:szCs w:val="18"/>
              </w:rPr>
            </w:pPr>
            <w:r>
              <w:rPr>
                <w:rFonts w:cs="Calibri"/>
                <w:sz w:val="18"/>
                <w:szCs w:val="18"/>
              </w:rPr>
              <w:t>56</w:t>
            </w:r>
          </w:p>
        </w:tc>
      </w:tr>
    </w:tbl>
    <w:p w:rsidR="00E72083" w:rsidRDefault="00E72083" w:rsidP="0079684E">
      <w:pPr>
        <w:autoSpaceDE w:val="0"/>
        <w:spacing w:after="0"/>
        <w:jc w:val="both"/>
        <w:rPr>
          <w:rFonts w:cs="Calibri"/>
          <w:b/>
        </w:rPr>
      </w:pPr>
    </w:p>
    <w:p w:rsidR="0079684E" w:rsidRDefault="0079684E" w:rsidP="0079684E">
      <w:pPr>
        <w:autoSpaceDE w:val="0"/>
        <w:spacing w:after="0"/>
        <w:jc w:val="both"/>
      </w:pPr>
      <w:r>
        <w:rPr>
          <w:rFonts w:cs="Calibri"/>
          <w:b/>
        </w:rPr>
        <w:t>Bilješka br. 2</w:t>
      </w:r>
      <w:r w:rsidR="00E72083">
        <w:rPr>
          <w:rFonts w:cs="Calibri"/>
          <w:b/>
        </w:rPr>
        <w:t>9</w:t>
      </w:r>
      <w:r w:rsidR="002C7A08">
        <w:rPr>
          <w:rFonts w:cs="Calibri"/>
          <w:b/>
        </w:rPr>
        <w:t xml:space="preserve"> -</w:t>
      </w:r>
      <w:r>
        <w:rPr>
          <w:rFonts w:cs="Calibri"/>
          <w:b/>
        </w:rPr>
        <w:t xml:space="preserve"> AOP 149 Rashodi za zaposlene</w:t>
      </w:r>
    </w:p>
    <w:p w:rsidR="00DE021B" w:rsidRPr="00DE021B" w:rsidRDefault="00DE021B" w:rsidP="0079684E">
      <w:pPr>
        <w:autoSpaceDE w:val="0"/>
        <w:spacing w:after="0"/>
        <w:jc w:val="both"/>
      </w:pPr>
    </w:p>
    <w:p w:rsidR="0079684E" w:rsidRDefault="0079684E" w:rsidP="0079684E">
      <w:pPr>
        <w:autoSpaceDE w:val="0"/>
        <w:spacing w:after="0"/>
        <w:jc w:val="both"/>
      </w:pPr>
      <w:r>
        <w:rPr>
          <w:rFonts w:cs="Calibri"/>
        </w:rPr>
        <w:t>Rashodi za zaposlene iznose</w:t>
      </w:r>
      <w:r>
        <w:rPr>
          <w:rFonts w:cs="Calibri"/>
          <w:b/>
        </w:rPr>
        <w:t xml:space="preserve"> </w:t>
      </w:r>
      <w:r>
        <w:rPr>
          <w:rFonts w:cs="Calibri"/>
        </w:rPr>
        <w:t xml:space="preserve"> 611.394.568 kn što je povećanje od 7% u odnosu na prethodnu godinu. Povećanje rashoda rezultat je porasta osnovice za plaću za 2,9% i povećanje broja zaposlenih za 4%. Rashodi za zaposlene obuhvaćaju plaće, ostale rashode za zaposlene i doprinose na plaće.</w:t>
      </w:r>
    </w:p>
    <w:p w:rsidR="0079684E" w:rsidRDefault="0079684E" w:rsidP="0079684E">
      <w:pPr>
        <w:autoSpaceDE w:val="0"/>
        <w:spacing w:after="0"/>
        <w:jc w:val="both"/>
        <w:rPr>
          <w:rFonts w:cs="Calibri"/>
          <w:u w:val="single"/>
        </w:rPr>
      </w:pPr>
    </w:p>
    <w:p w:rsidR="0079684E" w:rsidRDefault="0079684E" w:rsidP="0079684E">
      <w:pPr>
        <w:autoSpaceDE w:val="0"/>
        <w:spacing w:after="0"/>
        <w:jc w:val="both"/>
        <w:rPr>
          <w:rFonts w:cs="Calibri"/>
          <w:u w:val="single"/>
        </w:rPr>
      </w:pPr>
    </w:p>
    <w:p w:rsidR="0079684E" w:rsidRDefault="0079684E" w:rsidP="0079684E">
      <w:pPr>
        <w:autoSpaceDE w:val="0"/>
        <w:spacing w:after="0"/>
        <w:jc w:val="both"/>
        <w:rPr>
          <w:rFonts w:cs="Calibri"/>
          <w:b/>
        </w:rPr>
      </w:pPr>
      <w:r>
        <w:rPr>
          <w:rFonts w:cs="Calibri"/>
          <w:b/>
        </w:rPr>
        <w:t>Bilješka br.</w:t>
      </w:r>
      <w:r w:rsidR="00E72083">
        <w:rPr>
          <w:rFonts w:cs="Calibri"/>
          <w:b/>
        </w:rPr>
        <w:t xml:space="preserve"> 30</w:t>
      </w:r>
      <w:r w:rsidR="002C7A08">
        <w:rPr>
          <w:rFonts w:cs="Calibri"/>
          <w:b/>
        </w:rPr>
        <w:t xml:space="preserve"> - </w:t>
      </w:r>
      <w:r>
        <w:rPr>
          <w:rFonts w:cs="Calibri"/>
          <w:b/>
        </w:rPr>
        <w:t>AOP 162 Službena putovanja</w:t>
      </w:r>
    </w:p>
    <w:p w:rsidR="0079684E" w:rsidRDefault="0079684E" w:rsidP="0079684E">
      <w:pPr>
        <w:autoSpaceDE w:val="0"/>
        <w:spacing w:after="0"/>
        <w:jc w:val="both"/>
        <w:rPr>
          <w:rFonts w:cs="Calibri"/>
          <w:b/>
        </w:rPr>
      </w:pPr>
    </w:p>
    <w:p w:rsidR="0079684E" w:rsidRDefault="0079684E" w:rsidP="0079684E">
      <w:pPr>
        <w:autoSpaceDE w:val="0"/>
        <w:spacing w:after="0"/>
        <w:jc w:val="both"/>
      </w:pPr>
      <w:r>
        <w:rPr>
          <w:rFonts w:cs="Calibri"/>
        </w:rPr>
        <w:t>Na službena putovanja utrošeno je 394.842 kn što je smanjenje od 82% u odnosu na prethodnu godinu. Do smanjenja je došlo zbog ograničenja putovanja radi izbijanja epidemije COVID 19</w:t>
      </w:r>
      <w:r>
        <w:rPr>
          <w:rFonts w:cs="Calibri"/>
          <w:b/>
        </w:rPr>
        <w:t>.</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p>
    <w:p w:rsidR="0079684E" w:rsidRPr="002C7A08" w:rsidRDefault="0079684E" w:rsidP="0079684E">
      <w:pPr>
        <w:autoSpaceDE w:val="0"/>
        <w:spacing w:after="0"/>
        <w:jc w:val="both"/>
        <w:rPr>
          <w:rFonts w:cs="Calibri"/>
        </w:rPr>
      </w:pPr>
      <w:r>
        <w:rPr>
          <w:rFonts w:cs="Calibri"/>
          <w:b/>
        </w:rPr>
        <w:t xml:space="preserve">Bilješka br. </w:t>
      </w:r>
      <w:r w:rsidR="00E72083">
        <w:rPr>
          <w:rFonts w:cs="Calibri"/>
          <w:b/>
        </w:rPr>
        <w:t>31</w:t>
      </w:r>
      <w:r w:rsidR="002C7A08">
        <w:rPr>
          <w:rFonts w:cs="Calibri"/>
        </w:rPr>
        <w:t xml:space="preserve"> - </w:t>
      </w:r>
      <w:r>
        <w:rPr>
          <w:rFonts w:cs="Calibri"/>
        </w:rPr>
        <w:t xml:space="preserve"> </w:t>
      </w:r>
      <w:r>
        <w:rPr>
          <w:rFonts w:cs="Calibri"/>
          <w:b/>
        </w:rPr>
        <w:t>AOP 169 Energija</w:t>
      </w:r>
    </w:p>
    <w:p w:rsidR="0079684E" w:rsidRDefault="0079684E" w:rsidP="0079684E">
      <w:pPr>
        <w:autoSpaceDE w:val="0"/>
        <w:spacing w:after="0"/>
        <w:jc w:val="both"/>
        <w:rPr>
          <w:rFonts w:cs="Calibri"/>
          <w:b/>
        </w:rPr>
      </w:pPr>
    </w:p>
    <w:p w:rsidR="0079684E" w:rsidRDefault="0079684E" w:rsidP="0079684E">
      <w:pPr>
        <w:autoSpaceDE w:val="0"/>
        <w:spacing w:after="0"/>
        <w:jc w:val="both"/>
        <w:rPr>
          <w:rFonts w:cs="Calibri"/>
        </w:rPr>
      </w:pPr>
      <w:r>
        <w:rPr>
          <w:rFonts w:cs="Calibri"/>
        </w:rPr>
        <w:t xml:space="preserve">Rashodi za energiju veći su za 8% u odnosu na prethodnu godinu i iznose 82.505.640 kn. Troškovi energije obuhvaćaju: </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Troškove električne energije 6.466.296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Potrošnju električne energije za javnu rasvjetu 64.395.281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Topla voda (toplana) 4.266.560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Plin 3.738.385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Plin za javnu rasvjetu 1.304.598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Motorni benzin i dizel gorivo 1.662.499 kn,</w:t>
      </w:r>
    </w:p>
    <w:p w:rsidR="0079684E" w:rsidRDefault="0079684E" w:rsidP="0079684E">
      <w:pPr>
        <w:pStyle w:val="ListParagraph"/>
        <w:numPr>
          <w:ilvl w:val="0"/>
          <w:numId w:val="17"/>
        </w:numPr>
        <w:autoSpaceDE w:val="0"/>
        <w:autoSpaceDN w:val="0"/>
        <w:spacing w:line="240" w:lineRule="auto"/>
        <w:contextualSpacing w:val="0"/>
        <w:jc w:val="both"/>
        <w:rPr>
          <w:rFonts w:cs="Calibri"/>
        </w:rPr>
      </w:pPr>
      <w:r>
        <w:rPr>
          <w:rFonts w:cs="Calibri"/>
        </w:rPr>
        <w:t>Ostali materijali za proizvodnju energije (ugljen, drva, teško ulje) 672.021 kn.</w:t>
      </w:r>
    </w:p>
    <w:p w:rsidR="004F1269" w:rsidRDefault="004F1269" w:rsidP="0079684E">
      <w:pPr>
        <w:autoSpaceDE w:val="0"/>
        <w:jc w:val="both"/>
        <w:rPr>
          <w:rFonts w:cs="Calibri"/>
          <w:b/>
        </w:rPr>
      </w:pPr>
    </w:p>
    <w:p w:rsidR="0079684E" w:rsidRDefault="0079684E" w:rsidP="0079684E">
      <w:pPr>
        <w:autoSpaceDE w:val="0"/>
        <w:jc w:val="both"/>
      </w:pPr>
      <w:r>
        <w:rPr>
          <w:rFonts w:cs="Calibri"/>
          <w:b/>
        </w:rPr>
        <w:t xml:space="preserve">Bilješka br. </w:t>
      </w:r>
      <w:r w:rsidR="00E72083">
        <w:rPr>
          <w:rFonts w:cs="Calibri"/>
          <w:b/>
        </w:rPr>
        <w:t>32</w:t>
      </w:r>
      <w:r w:rsidR="002C7A08">
        <w:rPr>
          <w:rFonts w:cs="Calibri"/>
        </w:rPr>
        <w:t xml:space="preserve"> -</w:t>
      </w:r>
      <w:r>
        <w:rPr>
          <w:rFonts w:cs="Calibri"/>
        </w:rPr>
        <w:t xml:space="preserve"> </w:t>
      </w:r>
      <w:r>
        <w:rPr>
          <w:rFonts w:cs="Calibri"/>
          <w:b/>
        </w:rPr>
        <w:t>AOP 170 Materijal i dijelovi za tekuće i investicijsko održavanje</w:t>
      </w:r>
    </w:p>
    <w:p w:rsidR="0079684E" w:rsidRDefault="0079684E" w:rsidP="0079684E">
      <w:pPr>
        <w:autoSpaceDE w:val="0"/>
        <w:jc w:val="both"/>
        <w:rPr>
          <w:rFonts w:cs="Calibri"/>
        </w:rPr>
      </w:pPr>
      <w:r>
        <w:rPr>
          <w:rFonts w:cs="Calibri"/>
        </w:rPr>
        <w:t>Utrošak materijala i dijelova za tekuće i investicijsko održavanje veći je za 85% u odnosu na prethodnu godinu. Trošak materijala i dijelova za tekuće i investicijsko održavanje građevinskih objekata iznosi 2.376.910 kn, za održavanje postrojenja i opreme iznosi 71.755 kn, materijala i dijelova za održavanje transportnih sredstava 44.337 kn te ostalog materijala i dijelova za tekuće i investicijsko 326.676 kn.</w:t>
      </w:r>
    </w:p>
    <w:p w:rsidR="008B1B15" w:rsidRDefault="008B1B15" w:rsidP="0079684E">
      <w:pPr>
        <w:autoSpaceDE w:val="0"/>
        <w:jc w:val="both"/>
        <w:rPr>
          <w:rFonts w:cs="Calibri"/>
          <w:b/>
        </w:rPr>
      </w:pPr>
    </w:p>
    <w:p w:rsidR="0079684E" w:rsidRDefault="0079684E" w:rsidP="0079684E">
      <w:pPr>
        <w:autoSpaceDE w:val="0"/>
        <w:jc w:val="both"/>
      </w:pPr>
      <w:r>
        <w:rPr>
          <w:rFonts w:cs="Calibri"/>
          <w:b/>
        </w:rPr>
        <w:t xml:space="preserve">Bilješka br. </w:t>
      </w:r>
      <w:r w:rsidR="00E72083">
        <w:rPr>
          <w:rFonts w:cs="Calibri"/>
          <w:b/>
        </w:rPr>
        <w:t>33</w:t>
      </w:r>
      <w:r w:rsidR="002C7A08">
        <w:rPr>
          <w:rFonts w:cs="Calibri"/>
        </w:rPr>
        <w:t xml:space="preserve"> -</w:t>
      </w:r>
      <w:r>
        <w:rPr>
          <w:rFonts w:cs="Calibri"/>
        </w:rPr>
        <w:t xml:space="preserve"> </w:t>
      </w:r>
      <w:r>
        <w:rPr>
          <w:rFonts w:cs="Calibri"/>
          <w:b/>
        </w:rPr>
        <w:t>AOP 175 Usluge telefona, pošte i prijevoza</w:t>
      </w:r>
    </w:p>
    <w:p w:rsidR="0079684E" w:rsidRDefault="0079684E" w:rsidP="0079684E">
      <w:pPr>
        <w:autoSpaceDE w:val="0"/>
        <w:spacing w:after="0"/>
        <w:jc w:val="both"/>
        <w:rPr>
          <w:rFonts w:cs="Calibri"/>
        </w:rPr>
      </w:pPr>
      <w:r>
        <w:rPr>
          <w:rFonts w:cs="Calibri"/>
        </w:rPr>
        <w:t>Na usluge telefona, pošte i prijevoza u 2020. godini utrošeno je 11.944.611 kn odnosno 7% manje sredstava u odnosu na prethodnu godinu. Rashodi financirani sa ove stavke uključuju:</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 xml:space="preserve">Usluge telefona, </w:t>
      </w:r>
      <w:proofErr w:type="spellStart"/>
      <w:r>
        <w:rPr>
          <w:rFonts w:cs="Calibri"/>
        </w:rPr>
        <w:t>telefaxa</w:t>
      </w:r>
      <w:proofErr w:type="spellEnd"/>
      <w:r>
        <w:rPr>
          <w:rFonts w:cs="Calibri"/>
        </w:rPr>
        <w:t xml:space="preserve"> i mobitela 3.624.730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Troškove poštarine 7.537.063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Rent a car i taxi prijevoz 770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HRT pretplata 130.640 kn i</w:t>
      </w:r>
    </w:p>
    <w:p w:rsidR="0079684E" w:rsidRDefault="0079684E" w:rsidP="0079684E">
      <w:pPr>
        <w:pStyle w:val="ListParagraph"/>
        <w:numPr>
          <w:ilvl w:val="0"/>
          <w:numId w:val="17"/>
        </w:numPr>
        <w:autoSpaceDE w:val="0"/>
        <w:autoSpaceDN w:val="0"/>
        <w:spacing w:line="240" w:lineRule="auto"/>
        <w:contextualSpacing w:val="0"/>
        <w:jc w:val="both"/>
        <w:rPr>
          <w:rFonts w:cs="Calibri"/>
        </w:rPr>
      </w:pPr>
      <w:r>
        <w:rPr>
          <w:rFonts w:cs="Calibri"/>
        </w:rPr>
        <w:t>Ostale usluge za komunikaciju i prijevoz 651.408 kn.</w:t>
      </w:r>
    </w:p>
    <w:p w:rsidR="008B1B15" w:rsidRDefault="008B1B15" w:rsidP="0079684E">
      <w:pPr>
        <w:autoSpaceDE w:val="0"/>
        <w:jc w:val="both"/>
        <w:rPr>
          <w:rFonts w:cs="Calibri"/>
          <w:b/>
        </w:rPr>
      </w:pPr>
    </w:p>
    <w:p w:rsidR="00BE5F8A" w:rsidRDefault="00BE5F8A" w:rsidP="0079684E">
      <w:pPr>
        <w:autoSpaceDE w:val="0"/>
        <w:jc w:val="both"/>
        <w:rPr>
          <w:rFonts w:cs="Calibri"/>
          <w:b/>
        </w:rPr>
      </w:pPr>
    </w:p>
    <w:p w:rsidR="00FC742D" w:rsidRDefault="00FC742D" w:rsidP="0079684E">
      <w:pPr>
        <w:autoSpaceDE w:val="0"/>
        <w:jc w:val="both"/>
        <w:rPr>
          <w:rFonts w:cs="Calibri"/>
          <w:b/>
        </w:rPr>
      </w:pPr>
    </w:p>
    <w:p w:rsidR="0079684E" w:rsidRPr="00DE021B" w:rsidRDefault="0079684E" w:rsidP="00DE021B">
      <w:pPr>
        <w:autoSpaceDE w:val="0"/>
        <w:jc w:val="both"/>
      </w:pPr>
      <w:r>
        <w:rPr>
          <w:rFonts w:cs="Calibri"/>
          <w:b/>
        </w:rPr>
        <w:lastRenderedPageBreak/>
        <w:t>Bilješka br. 3</w:t>
      </w:r>
      <w:r w:rsidR="00E72083">
        <w:rPr>
          <w:rFonts w:cs="Calibri"/>
          <w:b/>
        </w:rPr>
        <w:t>4</w:t>
      </w:r>
      <w:r w:rsidR="002C7A08">
        <w:rPr>
          <w:rFonts w:cs="Calibri"/>
        </w:rPr>
        <w:t xml:space="preserve"> - </w:t>
      </w:r>
      <w:r>
        <w:rPr>
          <w:rFonts w:cs="Calibri"/>
          <w:b/>
        </w:rPr>
        <w:t>AOP 176 Usluge tekućeg i investicijskog održavanja</w:t>
      </w:r>
    </w:p>
    <w:p w:rsidR="0079684E" w:rsidRDefault="0079684E" w:rsidP="0079684E">
      <w:pPr>
        <w:autoSpaceDE w:val="0"/>
        <w:spacing w:after="0"/>
        <w:jc w:val="both"/>
        <w:rPr>
          <w:rFonts w:cs="Calibri"/>
        </w:rPr>
      </w:pPr>
      <w:r>
        <w:rPr>
          <w:rFonts w:cs="Calibri"/>
        </w:rPr>
        <w:t>Usluge tekućeg i investicijskog održavanja izvršene su u iznosu 857.586.741 kn što je manje za 12% u odnosu na prethodnu godinu. Usluge tekućeg i investicijskog održavanja uključuju:</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Usluge tekućeg i investicijskog održavanja građevinskih objekata 40.896.890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 xml:space="preserve">Usluge tekućeg i </w:t>
      </w:r>
      <w:proofErr w:type="spellStart"/>
      <w:r>
        <w:rPr>
          <w:rFonts w:cs="Calibri"/>
        </w:rPr>
        <w:t>invest</w:t>
      </w:r>
      <w:proofErr w:type="spellEnd"/>
      <w:r>
        <w:rPr>
          <w:rFonts w:cs="Calibri"/>
        </w:rPr>
        <w:t>. održavanja građevinskih objekata – uređenje pročelja 1.070.382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 xml:space="preserve">Usluge tekućeg i </w:t>
      </w:r>
      <w:proofErr w:type="spellStart"/>
      <w:r>
        <w:rPr>
          <w:rFonts w:cs="Calibri"/>
        </w:rPr>
        <w:t>invest</w:t>
      </w:r>
      <w:proofErr w:type="spellEnd"/>
      <w:r>
        <w:rPr>
          <w:rFonts w:cs="Calibri"/>
        </w:rPr>
        <w:t>. održavanja postrojenja i opreme 16.941.064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 xml:space="preserve">Usluge tekućeg i </w:t>
      </w:r>
      <w:proofErr w:type="spellStart"/>
      <w:r>
        <w:rPr>
          <w:rFonts w:cs="Calibri"/>
        </w:rPr>
        <w:t>invest</w:t>
      </w:r>
      <w:proofErr w:type="spellEnd"/>
      <w:r>
        <w:rPr>
          <w:rFonts w:cs="Calibri"/>
        </w:rPr>
        <w:t>. održavanja prijevoznih sredstava 11.853 kn i</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Ostale usluge tekućeg i investicijskog održavanja 798.666.552 kn.</w:t>
      </w:r>
    </w:p>
    <w:p w:rsidR="0079684E" w:rsidRDefault="0079684E" w:rsidP="0079684E">
      <w:pPr>
        <w:autoSpaceDE w:val="0"/>
        <w:jc w:val="both"/>
        <w:rPr>
          <w:rFonts w:cs="Calibri"/>
        </w:rPr>
      </w:pPr>
      <w:r>
        <w:rPr>
          <w:rFonts w:cs="Calibri"/>
        </w:rPr>
        <w:t>Ostale usluge tekućeg i investicijskog održavanja uključuju: održavanje gradskih groblja, zimsku službu, izvanredno održavanje nerazvrstanih cesta, troškove vezane uz održavanje javne rasvjete, održavanje tramvajske pruge i ostalo.</w:t>
      </w:r>
    </w:p>
    <w:p w:rsidR="0079684E" w:rsidRDefault="0079684E" w:rsidP="0079684E">
      <w:pPr>
        <w:autoSpaceDE w:val="0"/>
        <w:jc w:val="both"/>
        <w:rPr>
          <w:rFonts w:cs="Calibri"/>
        </w:rPr>
      </w:pPr>
    </w:p>
    <w:p w:rsidR="0079684E" w:rsidRDefault="0079684E" w:rsidP="0079684E">
      <w:pPr>
        <w:autoSpaceDE w:val="0"/>
        <w:jc w:val="both"/>
        <w:rPr>
          <w:rFonts w:cs="Calibri"/>
          <w:b/>
        </w:rPr>
      </w:pPr>
      <w:r>
        <w:rPr>
          <w:rFonts w:cs="Calibri"/>
          <w:b/>
        </w:rPr>
        <w:t>Bilješka br.</w:t>
      </w:r>
      <w:r w:rsidR="008B1B15">
        <w:rPr>
          <w:rFonts w:cs="Calibri"/>
          <w:b/>
        </w:rPr>
        <w:t xml:space="preserve"> 35</w:t>
      </w:r>
      <w:r w:rsidR="002C7A08">
        <w:rPr>
          <w:rFonts w:cs="Calibri"/>
          <w:b/>
        </w:rPr>
        <w:t xml:space="preserve"> - </w:t>
      </w:r>
      <w:r>
        <w:rPr>
          <w:rFonts w:cs="Calibri"/>
          <w:b/>
        </w:rPr>
        <w:t>AOP 177 Usluge promidžbe i informiranja</w:t>
      </w:r>
    </w:p>
    <w:p w:rsidR="0079684E" w:rsidRDefault="0079684E" w:rsidP="0079684E">
      <w:pPr>
        <w:autoSpaceDE w:val="0"/>
        <w:jc w:val="both"/>
        <w:rPr>
          <w:rFonts w:cs="Calibri"/>
        </w:rPr>
      </w:pPr>
      <w:r>
        <w:rPr>
          <w:rFonts w:cs="Calibri"/>
        </w:rPr>
        <w:t>Na usluge promidžbe i informiranja u 2020. godini utrošeno je 22% više sredstava u odnosu na prethodnu godinu. Na promidžbu u elektronskim medijima utrošeno je 336.529 kn, na oglašavanje u tisku 1.361.823 kn, na promidžbene materijale 3.434.438 kn i ostale oblike promidžbe i informiranja 3.298.991 kn.</w:t>
      </w:r>
    </w:p>
    <w:p w:rsidR="0079684E" w:rsidRDefault="0079684E" w:rsidP="0079684E"/>
    <w:p w:rsidR="0079684E" w:rsidRPr="00DE021B" w:rsidRDefault="0079684E" w:rsidP="00DE021B">
      <w:pPr>
        <w:autoSpaceDE w:val="0"/>
        <w:jc w:val="both"/>
      </w:pPr>
      <w:r>
        <w:rPr>
          <w:rFonts w:cs="Calibri"/>
          <w:b/>
        </w:rPr>
        <w:t>Bilješka br. 3</w:t>
      </w:r>
      <w:r w:rsidR="008B1B15">
        <w:rPr>
          <w:rFonts w:cs="Calibri"/>
          <w:b/>
        </w:rPr>
        <w:t>6</w:t>
      </w:r>
      <w:r w:rsidR="002C7A08">
        <w:rPr>
          <w:rFonts w:cs="Calibri"/>
        </w:rPr>
        <w:t xml:space="preserve"> - </w:t>
      </w:r>
      <w:r>
        <w:rPr>
          <w:rFonts w:cs="Calibri"/>
          <w:b/>
        </w:rPr>
        <w:t>AOP 178 Komunalne usluge</w:t>
      </w:r>
    </w:p>
    <w:p w:rsidR="0079684E" w:rsidRDefault="0079684E" w:rsidP="0079684E">
      <w:pPr>
        <w:autoSpaceDE w:val="0"/>
        <w:spacing w:after="0"/>
        <w:jc w:val="both"/>
        <w:rPr>
          <w:rFonts w:cs="Calibri"/>
        </w:rPr>
      </w:pPr>
      <w:r>
        <w:rPr>
          <w:rFonts w:cs="Calibri"/>
        </w:rPr>
        <w:t xml:space="preserve">U 2020. godini došlo je do znatnog smanjenja rashoda za komunalne usluge. </w:t>
      </w:r>
    </w:p>
    <w:p w:rsidR="0079684E" w:rsidRDefault="0079684E" w:rsidP="0079684E">
      <w:pPr>
        <w:autoSpaceDE w:val="0"/>
        <w:spacing w:after="0"/>
        <w:jc w:val="both"/>
        <w:rPr>
          <w:rFonts w:cs="Calibri"/>
        </w:rPr>
      </w:pPr>
      <w:r>
        <w:rPr>
          <w:rFonts w:cs="Calibri"/>
        </w:rPr>
        <w:t xml:space="preserve">Utrošeno je: </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Opskrbu vodom 2.721.899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Odvoz smeća 1.102.591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Deratizaciju i dezinsekciju 9.565.701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Dimnjačarske usluge 245.729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 xml:space="preserve">Pričuvu 23.521.490 kn i </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Ostale komunalne usluge 24.444.965 kn.</w:t>
      </w:r>
    </w:p>
    <w:p w:rsidR="0079684E" w:rsidRDefault="0079684E" w:rsidP="0079684E">
      <w:pPr>
        <w:autoSpaceDE w:val="0"/>
        <w:jc w:val="both"/>
        <w:rPr>
          <w:rFonts w:cs="Calibri"/>
        </w:rPr>
      </w:pPr>
      <w:r>
        <w:rPr>
          <w:rFonts w:cs="Calibri"/>
        </w:rPr>
        <w:t>Ostale komunalne usluge obuhvaćaju: usluge uklanjanja grafita i plakata, komunalnu i vodnu naknadu, rashode vezane uz panoa na javnim površinama, pogrebne usluge, čišćenje kanalizacije, održavanje zemljišta i ostalo.</w:t>
      </w:r>
    </w:p>
    <w:p w:rsidR="0079684E" w:rsidRDefault="0079684E" w:rsidP="0079684E">
      <w:pPr>
        <w:autoSpaceDE w:val="0"/>
        <w:jc w:val="both"/>
        <w:rPr>
          <w:rFonts w:cs="Calibri"/>
        </w:rPr>
      </w:pPr>
    </w:p>
    <w:p w:rsidR="0079684E" w:rsidRPr="00DE021B" w:rsidRDefault="0079684E" w:rsidP="0079684E">
      <w:pPr>
        <w:autoSpaceDE w:val="0"/>
        <w:jc w:val="both"/>
      </w:pPr>
      <w:r>
        <w:rPr>
          <w:rFonts w:cs="Calibri"/>
          <w:b/>
        </w:rPr>
        <w:t>Bilješka br. 3</w:t>
      </w:r>
      <w:r w:rsidR="008B1B15">
        <w:rPr>
          <w:rFonts w:cs="Calibri"/>
          <w:b/>
        </w:rPr>
        <w:t>7</w:t>
      </w:r>
      <w:r w:rsidR="002C7A08">
        <w:rPr>
          <w:rFonts w:cs="Calibri"/>
        </w:rPr>
        <w:t xml:space="preserve"> - </w:t>
      </w:r>
      <w:r>
        <w:rPr>
          <w:rFonts w:cs="Calibri"/>
          <w:b/>
        </w:rPr>
        <w:t>AOP 179 Zakupnine i najamnine</w:t>
      </w:r>
      <w:r>
        <w:rPr>
          <w:rFonts w:cs="Calibri"/>
        </w:rPr>
        <w:t xml:space="preserve"> </w:t>
      </w:r>
    </w:p>
    <w:p w:rsidR="0079684E" w:rsidRDefault="0079684E" w:rsidP="0079684E">
      <w:pPr>
        <w:autoSpaceDE w:val="0"/>
        <w:spacing w:after="0"/>
        <w:jc w:val="both"/>
        <w:rPr>
          <w:rFonts w:cs="Calibri"/>
        </w:rPr>
      </w:pPr>
      <w:r>
        <w:rPr>
          <w:rFonts w:cs="Calibri"/>
        </w:rPr>
        <w:t>Na zakupnine i najamnine je u 2020. godini utrošeno 485.600.321 kn što je za 2% manje u odnosu na prethodnu godinu.</w:t>
      </w:r>
    </w:p>
    <w:p w:rsidR="0079684E" w:rsidRDefault="0079684E" w:rsidP="0079684E">
      <w:pPr>
        <w:autoSpaceDE w:val="0"/>
        <w:spacing w:after="0"/>
        <w:jc w:val="both"/>
        <w:rPr>
          <w:rFonts w:cs="Calibri"/>
        </w:rPr>
      </w:pPr>
      <w:r>
        <w:rPr>
          <w:rFonts w:cs="Calibri"/>
        </w:rPr>
        <w:t xml:space="preserve">Zakupnine za zemljišta iznose 1.085.309 kn i odnose se na zakup zemljišta </w:t>
      </w:r>
      <w:proofErr w:type="spellStart"/>
      <w:r>
        <w:rPr>
          <w:rFonts w:cs="Calibri"/>
        </w:rPr>
        <w:t>Bundek</w:t>
      </w:r>
      <w:proofErr w:type="spellEnd"/>
      <w:r>
        <w:rPr>
          <w:rFonts w:cs="Calibri"/>
        </w:rPr>
        <w:t xml:space="preserve"> u iznosu 531.776 i na zakup zemljišta vezane uz aktivnosti za gospodarenjem otpadom 553.534.</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Zakupnine i najamnine za građevinske objekte iznose 471.067.762 kn i obuhvaćaju:</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Zakupnine uredskih i poslovnih prostora te prostora za mjesne odbore 7.342.399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Zakupnine i najamnine za prostore dječjih vrtića, osnovnih i srednjih škola 103.178.834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Zakupnine i najamnine za zdravstvene ustanove 33.040.990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 xml:space="preserve">Zakupnine i </w:t>
      </w:r>
      <w:proofErr w:type="spellStart"/>
      <w:r>
        <w:rPr>
          <w:rFonts w:cs="Calibri"/>
        </w:rPr>
        <w:t>najmanine</w:t>
      </w:r>
      <w:proofErr w:type="spellEnd"/>
      <w:r>
        <w:rPr>
          <w:rFonts w:cs="Calibri"/>
        </w:rPr>
        <w:t xml:space="preserve"> stanova i poslovnih prostora (</w:t>
      </w:r>
      <w:proofErr w:type="spellStart"/>
      <w:r>
        <w:rPr>
          <w:rFonts w:cs="Calibri"/>
        </w:rPr>
        <w:t>Sopnica</w:t>
      </w:r>
      <w:proofErr w:type="spellEnd"/>
      <w:r>
        <w:rPr>
          <w:rFonts w:cs="Calibri"/>
        </w:rPr>
        <w:t xml:space="preserve"> </w:t>
      </w:r>
      <w:proofErr w:type="spellStart"/>
      <w:r>
        <w:rPr>
          <w:rFonts w:cs="Calibri"/>
        </w:rPr>
        <w:t>Jelkovec</w:t>
      </w:r>
      <w:proofErr w:type="spellEnd"/>
      <w:r>
        <w:rPr>
          <w:rFonts w:cs="Calibri"/>
        </w:rPr>
        <w:t xml:space="preserve"> i </w:t>
      </w:r>
      <w:proofErr w:type="spellStart"/>
      <w:r>
        <w:rPr>
          <w:rFonts w:cs="Calibri"/>
        </w:rPr>
        <w:t>Podbrežje</w:t>
      </w:r>
      <w:proofErr w:type="spellEnd"/>
      <w:r>
        <w:rPr>
          <w:rFonts w:cs="Calibri"/>
        </w:rPr>
        <w:t>) 249.381.800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Zakupnine i najamnine objekata socijalne skrbi 4.611.256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lastRenderedPageBreak/>
        <w:t>Zakupnine i najamnine objekata kulture 5.033.092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 xml:space="preserve">Zakupnine i najamnine sportskih objekata (Bazeni Iver, Svetice i SŠ </w:t>
      </w:r>
      <w:proofErr w:type="spellStart"/>
      <w:r>
        <w:rPr>
          <w:rFonts w:cs="Calibri"/>
        </w:rPr>
        <w:t>Jelkovec</w:t>
      </w:r>
      <w:proofErr w:type="spellEnd"/>
      <w:r>
        <w:rPr>
          <w:rFonts w:cs="Calibri"/>
        </w:rPr>
        <w:t>) 57.478.206 kn i</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Zakupnine i najamnine ostalih sportskih objekata 11.001.179 kn.</w:t>
      </w:r>
    </w:p>
    <w:p w:rsidR="0079684E" w:rsidRDefault="0079684E" w:rsidP="0079684E">
      <w:pPr>
        <w:pStyle w:val="ListParagraph"/>
        <w:autoSpaceDE w:val="0"/>
        <w:spacing w:after="0"/>
        <w:jc w:val="both"/>
        <w:rPr>
          <w:rFonts w:cs="Calibri"/>
        </w:rPr>
      </w:pPr>
    </w:p>
    <w:p w:rsidR="0079684E" w:rsidRDefault="0079684E" w:rsidP="0079684E">
      <w:pPr>
        <w:autoSpaceDE w:val="0"/>
        <w:spacing w:after="0"/>
        <w:jc w:val="both"/>
        <w:rPr>
          <w:rFonts w:cs="Calibri"/>
        </w:rPr>
      </w:pPr>
      <w:r>
        <w:rPr>
          <w:rFonts w:cs="Calibri"/>
        </w:rPr>
        <w:t>Zakupnine i najamnine za opremu iznose 595.704 kn, a uključuju najam LCD ekrana, šatore za Gradske vrtove, najam rasvjete i razglasa i ostalo.</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Zakupnine i najamnine za prijevozna sredstva iznose 7.018.648 kn.</w:t>
      </w:r>
    </w:p>
    <w:p w:rsidR="0079684E" w:rsidRDefault="0079684E" w:rsidP="0079684E">
      <w:pPr>
        <w:autoSpaceDE w:val="0"/>
        <w:jc w:val="both"/>
        <w:rPr>
          <w:rFonts w:cs="Calibri"/>
        </w:rPr>
      </w:pPr>
      <w:r>
        <w:rPr>
          <w:rFonts w:cs="Calibri"/>
        </w:rPr>
        <w:t>Ostale zakupnine i najamnine uključuju zakupe parkirališnih mjesta, režijske troškove za prostore u zakupu, najam arhivskog prostora, najam prostora i opreme za održavanje manifestacija i ostalo te iznose 5.832.898 kn.</w:t>
      </w:r>
    </w:p>
    <w:p w:rsidR="0079684E" w:rsidRDefault="0079684E" w:rsidP="0079684E">
      <w:pPr>
        <w:autoSpaceDE w:val="0"/>
        <w:jc w:val="both"/>
        <w:rPr>
          <w:rFonts w:cs="Calibri"/>
          <w:b/>
        </w:rPr>
      </w:pPr>
    </w:p>
    <w:p w:rsidR="0079684E" w:rsidRPr="00DE021B" w:rsidRDefault="0079684E" w:rsidP="00DE021B">
      <w:pPr>
        <w:autoSpaceDE w:val="0"/>
        <w:jc w:val="both"/>
      </w:pPr>
      <w:r>
        <w:rPr>
          <w:rFonts w:cs="Calibri"/>
          <w:b/>
        </w:rPr>
        <w:t>Bilješka br. 3</w:t>
      </w:r>
      <w:r w:rsidR="008B1B15">
        <w:rPr>
          <w:rFonts w:cs="Calibri"/>
          <w:b/>
        </w:rPr>
        <w:t>8</w:t>
      </w:r>
      <w:r>
        <w:rPr>
          <w:rFonts w:cs="Calibri"/>
        </w:rPr>
        <w:t xml:space="preserve"> </w:t>
      </w:r>
      <w:r w:rsidR="002C7A08">
        <w:rPr>
          <w:rFonts w:cs="Calibri"/>
          <w:b/>
        </w:rPr>
        <w:t xml:space="preserve">- </w:t>
      </w:r>
      <w:r>
        <w:rPr>
          <w:rFonts w:cs="Calibri"/>
          <w:b/>
        </w:rPr>
        <w:t>AOP 180 Zdravstvene i veterinarske usluge</w:t>
      </w:r>
    </w:p>
    <w:p w:rsidR="0079684E" w:rsidRDefault="0079684E" w:rsidP="0079684E">
      <w:pPr>
        <w:autoSpaceDE w:val="0"/>
        <w:spacing w:after="0"/>
        <w:jc w:val="both"/>
        <w:rPr>
          <w:rFonts w:cs="Calibri"/>
        </w:rPr>
      </w:pPr>
      <w:r>
        <w:rPr>
          <w:rFonts w:cs="Calibri"/>
        </w:rPr>
        <w:t>Troškovi zdravstvenih i veterinarskih usluga su 7.995.386 kn što je 14% manje u odnosu na prethodnu godinu. Na ovoj skupini rashoda evidentirani su:</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Obavezni zdravstveni pregledi zaposlenika 513.730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Veterinarske usluge na kojima su evidentirani troškovi uklanjanja lešina s javnih površina u iznosu 662.122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 xml:space="preserve">Ostale zdravstvene i veterinarske usluge uključuju ispitivanje zdravstvene ispravnosti hrane, dežurstva hitne pomoći na raznim manifestacijama, monitoring voda, dezinsekcija na javnim površinama, preventivni liječnički pregledi, dezinsekcije osa i </w:t>
      </w:r>
      <w:proofErr w:type="spellStart"/>
      <w:r>
        <w:rPr>
          <w:rFonts w:cs="Calibri"/>
        </w:rPr>
        <w:t>stršljenova</w:t>
      </w:r>
      <w:proofErr w:type="spellEnd"/>
      <w:r>
        <w:rPr>
          <w:rFonts w:cs="Calibri"/>
        </w:rPr>
        <w:t>, edukacije i savjetovanja javnosti 6.819.533 kn.</w:t>
      </w:r>
    </w:p>
    <w:p w:rsidR="00DE021B" w:rsidRDefault="00DE021B" w:rsidP="0079684E">
      <w:pPr>
        <w:autoSpaceDE w:val="0"/>
        <w:jc w:val="both"/>
        <w:rPr>
          <w:rFonts w:cs="Calibri"/>
        </w:rPr>
      </w:pPr>
    </w:p>
    <w:p w:rsidR="0079684E" w:rsidRDefault="0079684E" w:rsidP="0079684E">
      <w:pPr>
        <w:autoSpaceDE w:val="0"/>
        <w:spacing w:after="0"/>
        <w:jc w:val="both"/>
      </w:pPr>
      <w:r>
        <w:rPr>
          <w:rFonts w:cs="Calibri"/>
          <w:b/>
        </w:rPr>
        <w:t>Bilješka br. 3</w:t>
      </w:r>
      <w:r w:rsidR="008B1B15">
        <w:rPr>
          <w:rFonts w:cs="Calibri"/>
          <w:b/>
        </w:rPr>
        <w:t>9</w:t>
      </w:r>
      <w:r>
        <w:rPr>
          <w:rFonts w:cs="Calibri"/>
        </w:rPr>
        <w:t xml:space="preserve"> </w:t>
      </w:r>
      <w:r w:rsidR="002C7A08">
        <w:rPr>
          <w:rFonts w:cs="Calibri"/>
          <w:b/>
        </w:rPr>
        <w:t xml:space="preserve">- </w:t>
      </w:r>
      <w:r>
        <w:rPr>
          <w:rFonts w:cs="Calibri"/>
          <w:b/>
        </w:rPr>
        <w:t>AOP 182 Računalne usluge</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Na računalne usluge utrošeno je 50.967.473 kn što je za 85% više u odnosu na prethodnu godinu.</w:t>
      </w:r>
    </w:p>
    <w:p w:rsidR="0079684E" w:rsidRDefault="0079684E" w:rsidP="0079684E">
      <w:pPr>
        <w:jc w:val="both"/>
      </w:pPr>
      <w:r>
        <w:rPr>
          <w:rFonts w:cs="Calibri"/>
        </w:rPr>
        <w:t xml:space="preserve">Na ažuriranje računalnih baza utrošeno je 13.098.230 kn, a na ostale računalne usluge 37.869.243 kn. </w:t>
      </w:r>
      <w:r>
        <w:rPr>
          <w:rStyle w:val="fontstyle01"/>
          <w:rFonts w:ascii="Calibri" w:hAnsi="Calibri" w:cs="Calibri"/>
        </w:rPr>
        <w:t>Uslijed potresa veliki broj korisnika informacijskog sustava preseljen je iz nesigurnih</w:t>
      </w:r>
      <w:r>
        <w:rPr>
          <w:rFonts w:cs="Calibri"/>
          <w:color w:val="000000"/>
        </w:rPr>
        <w:t xml:space="preserve"> </w:t>
      </w:r>
      <w:r>
        <w:rPr>
          <w:rStyle w:val="fontstyle01"/>
          <w:rFonts w:ascii="Calibri" w:hAnsi="Calibri" w:cs="Calibri"/>
        </w:rPr>
        <w:t>zgrada, nabavljena je potrebna komunikacijska oprema te su odrađeni potrebni radovi</w:t>
      </w:r>
      <w:r>
        <w:rPr>
          <w:rFonts w:cs="Calibri"/>
          <w:color w:val="000000"/>
        </w:rPr>
        <w:t xml:space="preserve"> </w:t>
      </w:r>
      <w:r>
        <w:rPr>
          <w:rStyle w:val="fontstyle01"/>
          <w:rFonts w:ascii="Calibri" w:hAnsi="Calibri" w:cs="Calibri"/>
        </w:rPr>
        <w:t>kako bi se nastavilo s redovnim radom.</w:t>
      </w:r>
      <w:r>
        <w:rPr>
          <w:rFonts w:cs="Calibri"/>
        </w:rPr>
        <w:t xml:space="preserve"> </w:t>
      </w:r>
      <w:r>
        <w:rPr>
          <w:rStyle w:val="fontstyle01"/>
          <w:rFonts w:ascii="Calibri" w:hAnsi="Calibri" w:cs="Calibri"/>
        </w:rPr>
        <w:t xml:space="preserve">Nabavljena je radna oprema kojom je podržan udaljeni rad djelatnika Grada </w:t>
      </w:r>
      <w:r>
        <w:rPr>
          <w:rFonts w:cs="Calibri"/>
          <w:color w:val="000000"/>
        </w:rPr>
        <w:t>Zagr</w:t>
      </w:r>
      <w:r w:rsidR="00FC742D">
        <w:rPr>
          <w:rFonts w:cs="Calibri"/>
          <w:color w:val="000000"/>
        </w:rPr>
        <w:t xml:space="preserve">eba uslijed </w:t>
      </w:r>
      <w:proofErr w:type="spellStart"/>
      <w:r w:rsidR="00FC742D">
        <w:rPr>
          <w:rFonts w:cs="Calibri"/>
          <w:color w:val="000000"/>
        </w:rPr>
        <w:t>pandemije</w:t>
      </w:r>
      <w:proofErr w:type="spellEnd"/>
      <w:r w:rsidR="00FC742D">
        <w:rPr>
          <w:rFonts w:cs="Calibri"/>
          <w:color w:val="000000"/>
        </w:rPr>
        <w:t xml:space="preserve"> COVID-I9. </w:t>
      </w:r>
      <w:r>
        <w:rPr>
          <w:rFonts w:cs="Calibri"/>
          <w:color w:val="000000"/>
        </w:rPr>
        <w:t>Pokrenuta je izrada aplikativnih rješenja koja za svrh</w:t>
      </w:r>
      <w:r w:rsidR="00FC742D">
        <w:rPr>
          <w:rFonts w:cs="Calibri"/>
          <w:color w:val="000000"/>
        </w:rPr>
        <w:t xml:space="preserve">u imaju olakšati komunikaciju s </w:t>
      </w:r>
      <w:r>
        <w:rPr>
          <w:rFonts w:cs="Calibri"/>
          <w:color w:val="000000"/>
        </w:rPr>
        <w:t>građanima i digitalizirati poslovne procese.</w:t>
      </w:r>
    </w:p>
    <w:p w:rsidR="0079684E" w:rsidRDefault="0079684E" w:rsidP="0079684E"/>
    <w:p w:rsidR="0079684E" w:rsidRPr="00DE021B" w:rsidRDefault="0079684E" w:rsidP="00DE021B">
      <w:pPr>
        <w:autoSpaceDE w:val="0"/>
        <w:jc w:val="both"/>
      </w:pPr>
      <w:r>
        <w:rPr>
          <w:rFonts w:cs="Calibri"/>
          <w:b/>
        </w:rPr>
        <w:t xml:space="preserve">Bilješka br. </w:t>
      </w:r>
      <w:r w:rsidR="008B1B15">
        <w:rPr>
          <w:rFonts w:cs="Calibri"/>
          <w:b/>
        </w:rPr>
        <w:t>40</w:t>
      </w:r>
      <w:r>
        <w:rPr>
          <w:rFonts w:cs="Calibri"/>
        </w:rPr>
        <w:t xml:space="preserve"> </w:t>
      </w:r>
      <w:r w:rsidR="002C7A08">
        <w:rPr>
          <w:rFonts w:cs="Calibri"/>
          <w:b/>
        </w:rPr>
        <w:t>-</w:t>
      </w:r>
      <w:r>
        <w:rPr>
          <w:rFonts w:cs="Calibri"/>
          <w:b/>
        </w:rPr>
        <w:t xml:space="preserve"> AOP 183 Ostale usluge</w:t>
      </w:r>
    </w:p>
    <w:p w:rsidR="0079684E" w:rsidRDefault="0079684E" w:rsidP="0079684E">
      <w:pPr>
        <w:autoSpaceDE w:val="0"/>
        <w:spacing w:after="0"/>
        <w:jc w:val="both"/>
        <w:rPr>
          <w:rFonts w:cs="Calibri"/>
        </w:rPr>
      </w:pPr>
      <w:r>
        <w:rPr>
          <w:rFonts w:cs="Calibri"/>
        </w:rPr>
        <w:t>Troškovi ostalih usluga iznose 196.611.883 kn i veći su za 60% u odnosu na 2019. godinu.</w:t>
      </w:r>
    </w:p>
    <w:p w:rsidR="0079684E" w:rsidRDefault="0079684E" w:rsidP="0079684E">
      <w:pPr>
        <w:autoSpaceDE w:val="0"/>
        <w:spacing w:after="0"/>
        <w:jc w:val="both"/>
        <w:rPr>
          <w:rFonts w:cs="Calibri"/>
        </w:rPr>
      </w:pPr>
      <w:r>
        <w:rPr>
          <w:rFonts w:cs="Calibri"/>
        </w:rPr>
        <w:t>Na ostalim uslugama evidentirani su rashodi:</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Grafičkih i tiskarskih usluga 402.791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Film i izrada fotografija 27.414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Usluge pri registraciji prijevoznih sredstava 18.466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Usluge čišćenja pranja i slično 3.098.402 kn,</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Usluge čuvanja imovine i osoba 32.724.838 kn. Najveći iznos odnosno 32.398.813 kn se odnosi na čuvanje gradskih stanova i poslovnih prostora.</w:t>
      </w:r>
    </w:p>
    <w:p w:rsidR="0079684E" w:rsidRDefault="0079684E" w:rsidP="0079684E">
      <w:pPr>
        <w:pStyle w:val="ListParagraph"/>
        <w:numPr>
          <w:ilvl w:val="0"/>
          <w:numId w:val="17"/>
        </w:numPr>
        <w:autoSpaceDE w:val="0"/>
        <w:autoSpaceDN w:val="0"/>
        <w:spacing w:after="0" w:line="240" w:lineRule="auto"/>
        <w:contextualSpacing w:val="0"/>
        <w:jc w:val="both"/>
        <w:rPr>
          <w:rFonts w:cs="Calibri"/>
        </w:rPr>
      </w:pPr>
      <w:r>
        <w:rPr>
          <w:rFonts w:cs="Calibri"/>
        </w:rPr>
        <w:t>Naknada za energetsku uslugu 138.582 kn,</w:t>
      </w:r>
    </w:p>
    <w:p w:rsidR="0079684E" w:rsidRDefault="0079684E" w:rsidP="0079684E">
      <w:pPr>
        <w:pStyle w:val="ListParagraph"/>
        <w:numPr>
          <w:ilvl w:val="0"/>
          <w:numId w:val="17"/>
        </w:numPr>
        <w:autoSpaceDN w:val="0"/>
        <w:spacing w:after="0" w:line="240" w:lineRule="auto"/>
        <w:contextualSpacing w:val="0"/>
      </w:pPr>
      <w:r>
        <w:rPr>
          <w:rFonts w:cs="Calibri"/>
        </w:rPr>
        <w:t xml:space="preserve">Ostale usluge iznose 160.201.389 kn. Najveći udio u ovim rashodima otpada na Naknadu Ministarstvu financija, Poreznoj upravi koja za Grad Zagreb obavlja poslove utvrđivanja, </w:t>
      </w:r>
      <w:r>
        <w:rPr>
          <w:rFonts w:cs="Calibri"/>
        </w:rPr>
        <w:lastRenderedPageBreak/>
        <w:t xml:space="preserve">evidentiranja, nadzora </w:t>
      </w:r>
      <w:r>
        <w:rPr>
          <w:rFonts w:cs="Calibri"/>
          <w:color w:val="3F4647"/>
          <w:shd w:val="clear" w:color="auto" w:fill="FFFFFF"/>
        </w:rPr>
        <w:t>naplate</w:t>
      </w:r>
      <w:r>
        <w:rPr>
          <w:rFonts w:ascii="Arial" w:hAnsi="Arial" w:cs="Arial"/>
          <w:color w:val="3F4647"/>
          <w:sz w:val="23"/>
          <w:szCs w:val="23"/>
          <w:shd w:val="clear" w:color="auto" w:fill="FFFFFF"/>
        </w:rPr>
        <w:t xml:space="preserve"> i </w:t>
      </w:r>
      <w:r>
        <w:rPr>
          <w:rFonts w:cs="Calibri"/>
          <w:color w:val="3F4647"/>
          <w:shd w:val="clear" w:color="auto" w:fill="FFFFFF"/>
        </w:rPr>
        <w:t xml:space="preserve">ovrhe radi naplate pojedinih poreza koji pripadaju Gradu </w:t>
      </w:r>
      <w:r>
        <w:rPr>
          <w:rFonts w:cs="Calibri"/>
          <w:color w:val="3F4647"/>
        </w:rPr>
        <w:br/>
      </w:r>
      <w:r>
        <w:rPr>
          <w:rFonts w:cs="Calibri"/>
          <w:color w:val="3F4647"/>
          <w:shd w:val="clear" w:color="auto" w:fill="FFFFFF"/>
        </w:rPr>
        <w:t>(porez na potrošnju, porez na kuće za odmor, porez na tvrtku, porez na promet nekretnina). Za obavljanje poslova utvrđivanja, evidentiranja, nadzora, naplate i ovrhe radi naplate ovih poreza Poreznoj upravi pripada naknada u iznosu 5% od ukupno naplaćenih prihoda što iznosi 1.012.206 kn. Isto tako za poslove utvrđivanja, evidentiranja, naplate, nadzora i ovrhe poreza na dohodak Ministarstvu financija Poreznoj upravi pripada naknada 1% od ukupno naplaćenih prihoda od poreza na dohodak što iznosi 50.084.521 kn.</w:t>
      </w:r>
    </w:p>
    <w:p w:rsidR="0079684E" w:rsidRDefault="0079684E" w:rsidP="0079684E">
      <w:pPr>
        <w:pStyle w:val="ListParagraph"/>
        <w:autoSpaceDE w:val="0"/>
        <w:jc w:val="both"/>
        <w:rPr>
          <w:rFonts w:cs="Calibri"/>
        </w:rPr>
      </w:pPr>
      <w:r>
        <w:rPr>
          <w:rFonts w:cs="Calibri"/>
        </w:rPr>
        <w:t>Tu su još evidentirani rashodi za prometnu jedinicu mladeži 16.165.419 kn, rashodi vezani uz nabavu zaštitne medicinske opreme radi sprečavanja širenja bolesti uzrokovane COVID 19 virusom u iznosu 17.857.030, te stručni poslovi naplate GSKG 17.700.000 kn. Ostatak se odnosi na rashode za čišćenje grafita, održavanje park šuma, održavanje zemljišta, premještanje vozila, rušenje stabala i rezanje grana, rashodi vezani uz Gradske vrtove te ugradnju kućnih brojeva i uličnih ploča.</w:t>
      </w:r>
    </w:p>
    <w:p w:rsidR="0079684E" w:rsidRDefault="0079684E" w:rsidP="0079684E"/>
    <w:p w:rsidR="0079684E" w:rsidRDefault="0079684E" w:rsidP="0079684E">
      <w:pPr>
        <w:rPr>
          <w:b/>
        </w:rPr>
      </w:pPr>
      <w:r>
        <w:rPr>
          <w:b/>
        </w:rPr>
        <w:t>Bilješka br.</w:t>
      </w:r>
      <w:r w:rsidR="008B1B15">
        <w:rPr>
          <w:b/>
        </w:rPr>
        <w:t>41</w:t>
      </w:r>
      <w:r w:rsidR="002C7A08">
        <w:rPr>
          <w:b/>
        </w:rPr>
        <w:t xml:space="preserve">  -</w:t>
      </w:r>
      <w:r>
        <w:rPr>
          <w:b/>
        </w:rPr>
        <w:t xml:space="preserve"> AOP 187 Premije osiguranja</w:t>
      </w:r>
    </w:p>
    <w:p w:rsidR="0079684E" w:rsidRDefault="0079684E" w:rsidP="0079684E">
      <w:r>
        <w:t>Premije osiguranja iznose 449.098 i manje su za 59% u odnosu na prethodnu godinu</w:t>
      </w:r>
      <w:r>
        <w:rPr>
          <w:b/>
        </w:rPr>
        <w:t xml:space="preserve">. </w:t>
      </w:r>
      <w:r>
        <w:t>Sredstva su utrošena na premije osiguranja prijevoznih sredstava 144.149 kn. premije osiguranja imovine 235.583 kn i premije osiguranja zaposlenih 69.366 kn.</w:t>
      </w:r>
    </w:p>
    <w:p w:rsidR="004F1269" w:rsidRDefault="004F1269" w:rsidP="0079684E">
      <w:pPr>
        <w:rPr>
          <w:b/>
        </w:rPr>
      </w:pPr>
    </w:p>
    <w:p w:rsidR="0079684E" w:rsidRPr="00DE021B" w:rsidRDefault="0079684E" w:rsidP="00DE021B">
      <w:pPr>
        <w:autoSpaceDE w:val="0"/>
        <w:jc w:val="both"/>
      </w:pPr>
      <w:r>
        <w:rPr>
          <w:rFonts w:cs="Calibri"/>
          <w:b/>
        </w:rPr>
        <w:t xml:space="preserve">Bilješka br. </w:t>
      </w:r>
      <w:r w:rsidR="008B1B15">
        <w:rPr>
          <w:rFonts w:cs="Calibri"/>
          <w:b/>
        </w:rPr>
        <w:t>42</w:t>
      </w:r>
      <w:r w:rsidR="002C7A08">
        <w:rPr>
          <w:rFonts w:cs="Calibri"/>
        </w:rPr>
        <w:t xml:space="preserve"> -</w:t>
      </w:r>
      <w:r>
        <w:rPr>
          <w:rFonts w:cs="Calibri"/>
        </w:rPr>
        <w:t xml:space="preserve"> </w:t>
      </w:r>
      <w:r>
        <w:rPr>
          <w:rFonts w:cs="Calibri"/>
          <w:b/>
        </w:rPr>
        <w:t>AOP 190 Pristojbe i naknade</w:t>
      </w:r>
    </w:p>
    <w:p w:rsidR="0079684E" w:rsidRDefault="0079684E" w:rsidP="0079684E">
      <w:pPr>
        <w:autoSpaceDE w:val="0"/>
        <w:spacing w:after="0"/>
        <w:jc w:val="both"/>
        <w:rPr>
          <w:rFonts w:cs="Calibri"/>
        </w:rPr>
      </w:pPr>
      <w:r>
        <w:rPr>
          <w:rFonts w:cs="Calibri"/>
        </w:rPr>
        <w:t xml:space="preserve">Na pristojbe i naknade utrošeno je 2.257.126 kn ili 57% manje u odnosu na prethodnu godinu. </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Upravne i administrativne pristojbe iznose 76.344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Sudske pristojbe 1.071.092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Javnobilježničke pristojbe 315.545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Naknada poslodavca zbog nezapošljavanja osoba s invaliditetom 88.156 kn i</w:t>
      </w:r>
    </w:p>
    <w:p w:rsidR="0079684E" w:rsidRDefault="0079684E" w:rsidP="0079684E">
      <w:pPr>
        <w:pStyle w:val="ListParagraph"/>
        <w:numPr>
          <w:ilvl w:val="0"/>
          <w:numId w:val="18"/>
        </w:numPr>
        <w:autoSpaceDE w:val="0"/>
        <w:autoSpaceDN w:val="0"/>
        <w:spacing w:line="240" w:lineRule="auto"/>
        <w:contextualSpacing w:val="0"/>
        <w:jc w:val="both"/>
        <w:rPr>
          <w:rFonts w:cs="Calibri"/>
        </w:rPr>
      </w:pPr>
      <w:r>
        <w:rPr>
          <w:rFonts w:cs="Calibri"/>
        </w:rPr>
        <w:t>Ostale pristojbe i naknade iznose 705.989kn. Na ovom računu su evidentirani troškovi provedbe ovrha, troškovi vještačenja, očevida, sudske dostave.</w:t>
      </w:r>
    </w:p>
    <w:p w:rsidR="0079684E" w:rsidRDefault="0079684E" w:rsidP="0079684E">
      <w:pPr>
        <w:rPr>
          <w:b/>
        </w:rPr>
      </w:pPr>
    </w:p>
    <w:p w:rsidR="0079684E" w:rsidRPr="00DE021B" w:rsidRDefault="0079684E" w:rsidP="0079684E">
      <w:pPr>
        <w:rPr>
          <w:b/>
        </w:rPr>
      </w:pPr>
      <w:r>
        <w:rPr>
          <w:b/>
        </w:rPr>
        <w:t>Bilješka br.</w:t>
      </w:r>
      <w:r w:rsidR="008B1B15">
        <w:rPr>
          <w:b/>
        </w:rPr>
        <w:t xml:space="preserve"> 43</w:t>
      </w:r>
      <w:r w:rsidR="002C7A08">
        <w:rPr>
          <w:b/>
        </w:rPr>
        <w:t xml:space="preserve">  -</w:t>
      </w:r>
      <w:r>
        <w:rPr>
          <w:b/>
        </w:rPr>
        <w:t xml:space="preserve"> AOP 202 Kamate za primljene kredite i zajmove od </w:t>
      </w:r>
      <w:r w:rsidR="00DE021B">
        <w:rPr>
          <w:b/>
        </w:rPr>
        <w:t>kreditnih i ostalih FI izvan JS</w:t>
      </w:r>
    </w:p>
    <w:p w:rsidR="0079684E" w:rsidRDefault="0079684E" w:rsidP="0079684E">
      <w:pPr>
        <w:spacing w:after="0" w:line="242" w:lineRule="auto"/>
      </w:pPr>
      <w:r>
        <w:t>Troškovi kamata za primljene kredite i zajmove manji su u odnosu na prethodnu godinu.  Kamate na kredit za:</w:t>
      </w:r>
    </w:p>
    <w:p w:rsidR="0079684E" w:rsidRDefault="0079684E" w:rsidP="0079684E">
      <w:pPr>
        <w:pStyle w:val="ListParagraph"/>
        <w:numPr>
          <w:ilvl w:val="0"/>
          <w:numId w:val="18"/>
        </w:numPr>
        <w:suppressAutoHyphens/>
        <w:autoSpaceDN w:val="0"/>
        <w:spacing w:after="0" w:line="242" w:lineRule="auto"/>
        <w:contextualSpacing w:val="0"/>
        <w:textAlignment w:val="baseline"/>
      </w:pPr>
      <w:r>
        <w:t xml:space="preserve">Kupnju doma na </w:t>
      </w:r>
      <w:proofErr w:type="spellStart"/>
      <w:r>
        <w:t>Lašćini</w:t>
      </w:r>
      <w:proofErr w:type="spellEnd"/>
      <w:r>
        <w:t xml:space="preserve"> iznose 5.799.282 kn,</w:t>
      </w:r>
    </w:p>
    <w:p w:rsidR="0079684E" w:rsidRDefault="0079684E" w:rsidP="0079684E">
      <w:pPr>
        <w:pStyle w:val="ListParagraph"/>
        <w:numPr>
          <w:ilvl w:val="0"/>
          <w:numId w:val="18"/>
        </w:numPr>
        <w:suppressAutoHyphens/>
        <w:autoSpaceDN w:val="0"/>
        <w:spacing w:after="0" w:line="242" w:lineRule="auto"/>
        <w:contextualSpacing w:val="0"/>
        <w:textAlignment w:val="baseline"/>
      </w:pPr>
      <w:r>
        <w:t>Kupnju Gredelja 17.361.618 kn,</w:t>
      </w:r>
    </w:p>
    <w:p w:rsidR="0079684E" w:rsidRDefault="0079684E" w:rsidP="0079684E">
      <w:pPr>
        <w:pStyle w:val="ListParagraph"/>
        <w:numPr>
          <w:ilvl w:val="0"/>
          <w:numId w:val="18"/>
        </w:numPr>
        <w:suppressAutoHyphens/>
        <w:autoSpaceDN w:val="0"/>
        <w:spacing w:after="0" w:line="242" w:lineRule="auto"/>
        <w:contextualSpacing w:val="0"/>
        <w:textAlignment w:val="baseline"/>
      </w:pPr>
      <w:r>
        <w:t>Kupnju Zagrepčanke 7.911.841 kn,</w:t>
      </w:r>
    </w:p>
    <w:p w:rsidR="0079684E" w:rsidRDefault="0079684E" w:rsidP="0079684E">
      <w:pPr>
        <w:pStyle w:val="ListParagraph"/>
        <w:numPr>
          <w:ilvl w:val="0"/>
          <w:numId w:val="18"/>
        </w:numPr>
        <w:suppressAutoHyphens/>
        <w:autoSpaceDN w:val="0"/>
        <w:spacing w:after="0" w:line="242" w:lineRule="auto"/>
        <w:contextualSpacing w:val="0"/>
        <w:textAlignment w:val="baseline"/>
      </w:pPr>
      <w:r>
        <w:t>Otkup potraživanja ZOV 2.718.568 kn,</w:t>
      </w:r>
    </w:p>
    <w:p w:rsidR="0079684E" w:rsidRDefault="0079684E" w:rsidP="0079684E">
      <w:pPr>
        <w:pStyle w:val="ListParagraph"/>
        <w:numPr>
          <w:ilvl w:val="0"/>
          <w:numId w:val="18"/>
        </w:numPr>
        <w:suppressAutoHyphens/>
        <w:autoSpaceDN w:val="0"/>
        <w:spacing w:after="0" w:line="242" w:lineRule="auto"/>
        <w:contextualSpacing w:val="0"/>
        <w:textAlignment w:val="baseline"/>
      </w:pPr>
      <w:r>
        <w:t>Kamate po kreditnim partijama 10.801.931 kn.</w:t>
      </w:r>
    </w:p>
    <w:p w:rsidR="0079684E" w:rsidRDefault="0079684E" w:rsidP="0079684E">
      <w:pPr>
        <w:spacing w:after="0" w:line="242" w:lineRule="auto"/>
      </w:pPr>
    </w:p>
    <w:p w:rsidR="0079684E" w:rsidRDefault="0079684E" w:rsidP="0079684E">
      <w:pPr>
        <w:autoSpaceDE w:val="0"/>
        <w:spacing w:after="0"/>
        <w:jc w:val="both"/>
        <w:rPr>
          <w:rFonts w:cs="Calibri"/>
          <w:b/>
        </w:rPr>
      </w:pPr>
    </w:p>
    <w:p w:rsidR="0079684E" w:rsidRDefault="0079684E" w:rsidP="0079684E">
      <w:pPr>
        <w:autoSpaceDE w:val="0"/>
        <w:spacing w:after="0"/>
        <w:jc w:val="both"/>
      </w:pPr>
      <w:r>
        <w:rPr>
          <w:rFonts w:cs="Calibri"/>
          <w:b/>
        </w:rPr>
        <w:t xml:space="preserve">Bilješka br. </w:t>
      </w:r>
      <w:r w:rsidR="008B1B15">
        <w:rPr>
          <w:rFonts w:cs="Calibri"/>
          <w:b/>
        </w:rPr>
        <w:t>44</w:t>
      </w:r>
      <w:r w:rsidR="002C7A08">
        <w:rPr>
          <w:rFonts w:cs="Calibri"/>
        </w:rPr>
        <w:t xml:space="preserve"> -</w:t>
      </w:r>
      <w:r>
        <w:rPr>
          <w:rFonts w:cs="Calibri"/>
        </w:rPr>
        <w:t xml:space="preserve"> </w:t>
      </w:r>
      <w:r>
        <w:rPr>
          <w:rFonts w:cs="Calibri"/>
          <w:b/>
        </w:rPr>
        <w:t>AOP 215 Subvencije trgovačkim društvima u javnom sektoru</w:t>
      </w:r>
    </w:p>
    <w:p w:rsidR="0079684E" w:rsidRDefault="0079684E" w:rsidP="0079684E">
      <w:pPr>
        <w:autoSpaceDE w:val="0"/>
        <w:spacing w:after="0"/>
        <w:jc w:val="both"/>
        <w:rPr>
          <w:rFonts w:cs="Calibri"/>
          <w:b/>
        </w:rPr>
      </w:pPr>
    </w:p>
    <w:p w:rsidR="0079684E" w:rsidRDefault="0079684E" w:rsidP="0079684E">
      <w:pPr>
        <w:autoSpaceDE w:val="0"/>
        <w:spacing w:after="0"/>
        <w:jc w:val="both"/>
        <w:rPr>
          <w:rFonts w:cs="Calibri"/>
        </w:rPr>
      </w:pPr>
      <w:r>
        <w:rPr>
          <w:rFonts w:cs="Calibri"/>
        </w:rPr>
        <w:t>Na subvencije trgovačkim društvima u javnom sektoru utrošeno 851.923.415 kn ili 6% više nego u prethodnoj godini. Subvencije su isplaćene:</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Zagrebačkom velesajmu 570.000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URIHU 29.680.516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LADI d.o.o. 1.326.233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lastRenderedPageBreak/>
        <w:t>Zagrebačkom inovacijskom centru 3.350.000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proofErr w:type="spellStart"/>
      <w:r>
        <w:rPr>
          <w:rFonts w:cs="Calibri"/>
        </w:rPr>
        <w:t>Bicro</w:t>
      </w:r>
      <w:proofErr w:type="spellEnd"/>
      <w:r>
        <w:rPr>
          <w:rFonts w:cs="Calibri"/>
        </w:rPr>
        <w:t xml:space="preserve"> </w:t>
      </w:r>
      <w:proofErr w:type="spellStart"/>
      <w:r>
        <w:rPr>
          <w:rFonts w:cs="Calibri"/>
        </w:rPr>
        <w:t>Biocentru</w:t>
      </w:r>
      <w:proofErr w:type="spellEnd"/>
      <w:r>
        <w:rPr>
          <w:rFonts w:cs="Calibri"/>
        </w:rPr>
        <w:t xml:space="preserve"> 450.000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Integriranom prometu zagrebačkog područja 720.000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Botaničkom vrtu 1.285.595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ZET-u 754.244.446 kn,</w:t>
      </w:r>
    </w:p>
    <w:p w:rsidR="0079684E" w:rsidRDefault="0079684E" w:rsidP="0079684E">
      <w:pPr>
        <w:pStyle w:val="ListParagraph"/>
        <w:numPr>
          <w:ilvl w:val="0"/>
          <w:numId w:val="18"/>
        </w:numPr>
        <w:autoSpaceDE w:val="0"/>
        <w:autoSpaceDN w:val="0"/>
        <w:spacing w:after="0" w:line="240" w:lineRule="auto"/>
        <w:contextualSpacing w:val="0"/>
        <w:jc w:val="both"/>
        <w:rPr>
          <w:rFonts w:cs="Calibri"/>
        </w:rPr>
      </w:pPr>
      <w:r>
        <w:rPr>
          <w:rFonts w:cs="Calibri"/>
        </w:rPr>
        <w:t>Zg. Holdingu (Arena Zagreb) 56.966.625 kn i</w:t>
      </w:r>
    </w:p>
    <w:p w:rsidR="0079684E" w:rsidRDefault="0079684E" w:rsidP="0079684E">
      <w:pPr>
        <w:pStyle w:val="ListParagraph"/>
        <w:numPr>
          <w:ilvl w:val="0"/>
          <w:numId w:val="18"/>
        </w:numPr>
        <w:autoSpaceDE w:val="0"/>
        <w:autoSpaceDN w:val="0"/>
        <w:spacing w:line="240" w:lineRule="auto"/>
        <w:contextualSpacing w:val="0"/>
        <w:jc w:val="both"/>
        <w:rPr>
          <w:rFonts w:cs="Calibri"/>
        </w:rPr>
      </w:pPr>
      <w:r>
        <w:rPr>
          <w:rFonts w:cs="Calibri"/>
        </w:rPr>
        <w:t>Zagrebačkom centru za gospodarenje otpadom 3.330.000 kn.</w:t>
      </w:r>
    </w:p>
    <w:p w:rsidR="0079684E" w:rsidRDefault="0079684E" w:rsidP="0079684E">
      <w:pPr>
        <w:spacing w:after="0" w:line="242" w:lineRule="auto"/>
      </w:pPr>
    </w:p>
    <w:p w:rsidR="0079684E" w:rsidRDefault="008B1B15" w:rsidP="0079684E">
      <w:pPr>
        <w:autoSpaceDE w:val="0"/>
        <w:spacing w:after="0"/>
        <w:jc w:val="both"/>
      </w:pPr>
      <w:r>
        <w:rPr>
          <w:rFonts w:cs="Calibri"/>
          <w:b/>
        </w:rPr>
        <w:t>Bilješka br. 45</w:t>
      </w:r>
      <w:r w:rsidR="002C7A08">
        <w:rPr>
          <w:rFonts w:cs="Calibri"/>
        </w:rPr>
        <w:t xml:space="preserve"> -</w:t>
      </w:r>
      <w:r w:rsidR="0079684E">
        <w:rPr>
          <w:rFonts w:cs="Calibri"/>
        </w:rPr>
        <w:t xml:space="preserve"> </w:t>
      </w:r>
      <w:r w:rsidR="0079684E">
        <w:rPr>
          <w:rFonts w:cs="Calibri"/>
          <w:b/>
        </w:rPr>
        <w:t>AOP 218 Subvencije trgovačkim društvima i zadrugama izvan javnog sektora</w:t>
      </w:r>
    </w:p>
    <w:p w:rsidR="0079684E" w:rsidRDefault="0079684E" w:rsidP="0079684E">
      <w:pPr>
        <w:autoSpaceDE w:val="0"/>
        <w:spacing w:after="0"/>
        <w:jc w:val="both"/>
        <w:rPr>
          <w:rFonts w:cs="Calibri"/>
        </w:rPr>
      </w:pPr>
    </w:p>
    <w:p w:rsidR="0079684E" w:rsidRDefault="0079684E" w:rsidP="0079684E">
      <w:pPr>
        <w:autoSpaceDE w:val="0"/>
        <w:jc w:val="both"/>
      </w:pPr>
      <w:r>
        <w:rPr>
          <w:rFonts w:cs="Calibri"/>
        </w:rPr>
        <w:t xml:space="preserve">Subvencije trgovačkim društvima i zadrugama izvan javnog sektora iznose 11.771.607 kn. </w:t>
      </w:r>
      <w:r>
        <w:t>Na ovom AOP-u iskazane su isplate 7.568.000 kn državnih potpora za sufinanciranje radijskih i televizijskih sadržaja, 780.000 kn potpora male vrijednosti, 763.269 kn subvencija trgovačkim društvima izvan javnog sektora i 2.660.338 kn subvencioniranih kamata.</w:t>
      </w:r>
    </w:p>
    <w:p w:rsidR="004F1269" w:rsidRDefault="004F1269" w:rsidP="0079684E">
      <w:pPr>
        <w:spacing w:after="0" w:line="242" w:lineRule="auto"/>
      </w:pPr>
    </w:p>
    <w:p w:rsidR="004F1269" w:rsidRDefault="004F1269" w:rsidP="0079684E">
      <w:pPr>
        <w:spacing w:after="0" w:line="242" w:lineRule="auto"/>
      </w:pPr>
    </w:p>
    <w:p w:rsidR="0079684E" w:rsidRDefault="0079684E" w:rsidP="0079684E">
      <w:pPr>
        <w:autoSpaceDE w:val="0"/>
        <w:spacing w:after="0"/>
        <w:jc w:val="both"/>
      </w:pPr>
      <w:r>
        <w:rPr>
          <w:b/>
        </w:rPr>
        <w:t>Bilješka br. 4</w:t>
      </w:r>
      <w:r w:rsidR="008B1B15">
        <w:rPr>
          <w:b/>
        </w:rPr>
        <w:t>6</w:t>
      </w:r>
      <w:r w:rsidR="002C7A08">
        <w:t xml:space="preserve"> -</w:t>
      </w:r>
      <w:r>
        <w:t xml:space="preserve"> </w:t>
      </w:r>
      <w:r>
        <w:rPr>
          <w:b/>
        </w:rPr>
        <w:t>AOP 219 Subvencije poljoprivrednicima i obrtnicima</w:t>
      </w:r>
    </w:p>
    <w:p w:rsidR="0079684E" w:rsidRDefault="0079684E" w:rsidP="0079684E">
      <w:pPr>
        <w:autoSpaceDE w:val="0"/>
        <w:spacing w:after="0"/>
        <w:jc w:val="both"/>
      </w:pPr>
    </w:p>
    <w:p w:rsidR="0079684E" w:rsidRDefault="0079684E" w:rsidP="0079684E">
      <w:pPr>
        <w:autoSpaceDE w:val="0"/>
        <w:jc w:val="both"/>
      </w:pPr>
      <w:r>
        <w:t>Rashodi za subvencije poljoprivrednicima i obrtnicima znatno su manje u odnosu na prethodnu godinu. Poljoprivrednicima je isplaćeno 3.102.169 kn, a obrtnicima 376.728 kn.</w:t>
      </w:r>
    </w:p>
    <w:p w:rsidR="00DE021B" w:rsidRDefault="00DE021B" w:rsidP="0079684E">
      <w:pPr>
        <w:autoSpaceDE w:val="0"/>
        <w:jc w:val="both"/>
      </w:pPr>
    </w:p>
    <w:p w:rsidR="0079684E" w:rsidRDefault="0079684E" w:rsidP="0079684E">
      <w:pPr>
        <w:autoSpaceDE w:val="0"/>
        <w:jc w:val="both"/>
        <w:rPr>
          <w:b/>
        </w:rPr>
      </w:pPr>
      <w:r>
        <w:rPr>
          <w:b/>
        </w:rPr>
        <w:t>Bilješka br.</w:t>
      </w:r>
      <w:r w:rsidR="008B1B15">
        <w:rPr>
          <w:b/>
        </w:rPr>
        <w:t>47</w:t>
      </w:r>
      <w:r w:rsidR="002C7A08">
        <w:rPr>
          <w:b/>
        </w:rPr>
        <w:t xml:space="preserve">  -</w:t>
      </w:r>
      <w:r>
        <w:rPr>
          <w:b/>
        </w:rPr>
        <w:t xml:space="preserve"> AOP 230 Kapitalne pomoći unutar općeg proračuna</w:t>
      </w:r>
    </w:p>
    <w:p w:rsidR="0079684E" w:rsidRDefault="0079684E" w:rsidP="0079684E">
      <w:pPr>
        <w:autoSpaceDE w:val="0"/>
        <w:jc w:val="both"/>
      </w:pPr>
      <w:r>
        <w:t>Sredstva u iznosu 8.091.469 kn isplaćena su Fondu za zaštitu okoliša i energetsku učinkovitost za nabavku spremnika za odvojeno prikupljanje otpada.</w:t>
      </w:r>
    </w:p>
    <w:p w:rsidR="0079684E" w:rsidRDefault="0079684E" w:rsidP="0079684E">
      <w:pPr>
        <w:autoSpaceDE w:val="0"/>
        <w:jc w:val="both"/>
      </w:pPr>
    </w:p>
    <w:p w:rsidR="0079684E" w:rsidRDefault="0079684E" w:rsidP="0079684E">
      <w:pPr>
        <w:autoSpaceDE w:val="0"/>
        <w:spacing w:after="0"/>
        <w:jc w:val="both"/>
      </w:pPr>
      <w:r>
        <w:rPr>
          <w:b/>
        </w:rPr>
        <w:t>Bilješka br.4</w:t>
      </w:r>
      <w:r w:rsidR="008B1B15">
        <w:rPr>
          <w:b/>
        </w:rPr>
        <w:t>8</w:t>
      </w:r>
      <w:r w:rsidR="002C7A08">
        <w:t xml:space="preserve"> -</w:t>
      </w:r>
      <w:r>
        <w:t xml:space="preserve"> </w:t>
      </w:r>
      <w:r>
        <w:rPr>
          <w:b/>
        </w:rPr>
        <w:t>AOP 232 Tekuće pomoći proračunskim korisnicima drugih proračuna</w:t>
      </w:r>
    </w:p>
    <w:p w:rsidR="0079684E" w:rsidRDefault="0079684E" w:rsidP="0079684E">
      <w:pPr>
        <w:autoSpaceDE w:val="0"/>
        <w:spacing w:after="0"/>
        <w:jc w:val="both"/>
      </w:pPr>
    </w:p>
    <w:p w:rsidR="0079684E" w:rsidRDefault="0079684E" w:rsidP="0079684E">
      <w:pPr>
        <w:autoSpaceDE w:val="0"/>
        <w:jc w:val="both"/>
      </w:pPr>
      <w:r>
        <w:t>Tekuće pomoći proračunskim korisnicima drugih proračuna iznose 7.889.439 kn i odnose se na isplatu sredstava Centru za socijalnu skrb.</w:t>
      </w:r>
    </w:p>
    <w:p w:rsidR="008B1B15" w:rsidRDefault="008B1B15" w:rsidP="0079684E">
      <w:pPr>
        <w:autoSpaceDE w:val="0"/>
        <w:spacing w:after="0"/>
        <w:jc w:val="both"/>
        <w:rPr>
          <w:b/>
        </w:rPr>
      </w:pPr>
    </w:p>
    <w:p w:rsidR="008B1B15" w:rsidRDefault="008B1B15" w:rsidP="0079684E">
      <w:pPr>
        <w:autoSpaceDE w:val="0"/>
        <w:spacing w:after="0"/>
        <w:jc w:val="both"/>
        <w:rPr>
          <w:b/>
        </w:rPr>
      </w:pPr>
    </w:p>
    <w:p w:rsidR="0079684E" w:rsidRDefault="0079684E" w:rsidP="0079684E">
      <w:pPr>
        <w:autoSpaceDE w:val="0"/>
        <w:spacing w:after="0"/>
        <w:jc w:val="both"/>
      </w:pPr>
      <w:r>
        <w:rPr>
          <w:b/>
        </w:rPr>
        <w:t>Bilješka br. 4</w:t>
      </w:r>
      <w:r w:rsidR="008B1B15">
        <w:rPr>
          <w:b/>
        </w:rPr>
        <w:t>9</w:t>
      </w:r>
      <w:r w:rsidR="002C7A08">
        <w:t xml:space="preserve"> - </w:t>
      </w:r>
      <w:r>
        <w:rPr>
          <w:b/>
        </w:rPr>
        <w:t>AOP 234 Prijenosi proračunskim korisnicima iz nadležnog proračuna za financiranje redovne djelatnosti</w:t>
      </w:r>
    </w:p>
    <w:p w:rsidR="0079684E" w:rsidRDefault="0079684E" w:rsidP="0079684E">
      <w:pPr>
        <w:autoSpaceDE w:val="0"/>
        <w:spacing w:after="0"/>
        <w:jc w:val="both"/>
      </w:pPr>
    </w:p>
    <w:p w:rsidR="0079684E" w:rsidRDefault="0079684E" w:rsidP="0079684E">
      <w:pPr>
        <w:tabs>
          <w:tab w:val="center" w:pos="-2977"/>
          <w:tab w:val="left" w:pos="540"/>
        </w:tabs>
        <w:spacing w:after="0"/>
        <w:jc w:val="both"/>
        <w:rPr>
          <w:rFonts w:cs="Calibri"/>
        </w:rPr>
      </w:pPr>
      <w:r>
        <w:rPr>
          <w:rFonts w:cs="Calibri"/>
        </w:rPr>
        <w:t>Na ovoj skupini računa evidentirani su prijenosi proračunskim korisnicima u iznosu 2.270.930.639 kn i veći su u odnosu na prethodnu godinu za 9%. Ovi rashodi će se u potpunosti eliminirati u konsolidaciji na razini „23“.</w:t>
      </w:r>
    </w:p>
    <w:p w:rsidR="008B1B15" w:rsidRDefault="008B1B15" w:rsidP="0079684E">
      <w:pPr>
        <w:tabs>
          <w:tab w:val="center" w:pos="-2977"/>
          <w:tab w:val="left" w:pos="540"/>
        </w:tabs>
        <w:spacing w:after="0"/>
        <w:jc w:val="both"/>
        <w:rPr>
          <w:rFonts w:cs="Calibri"/>
          <w:b/>
        </w:rPr>
      </w:pPr>
    </w:p>
    <w:p w:rsidR="008C0C40" w:rsidRDefault="008C0C40" w:rsidP="0079684E">
      <w:pPr>
        <w:tabs>
          <w:tab w:val="center" w:pos="-2977"/>
          <w:tab w:val="left" w:pos="540"/>
        </w:tabs>
        <w:spacing w:after="0"/>
        <w:jc w:val="both"/>
        <w:rPr>
          <w:rFonts w:cs="Calibri"/>
          <w:b/>
        </w:rPr>
      </w:pPr>
    </w:p>
    <w:p w:rsidR="0079684E" w:rsidRDefault="008B1B15" w:rsidP="0079684E">
      <w:pPr>
        <w:tabs>
          <w:tab w:val="center" w:pos="-2977"/>
          <w:tab w:val="left" w:pos="540"/>
        </w:tabs>
        <w:spacing w:after="0"/>
        <w:jc w:val="both"/>
      </w:pPr>
      <w:r>
        <w:rPr>
          <w:rFonts w:cs="Calibri"/>
          <w:b/>
        </w:rPr>
        <w:t>Bilješka br. 50</w:t>
      </w:r>
      <w:r w:rsidR="002C7A08">
        <w:rPr>
          <w:rFonts w:cs="Calibri"/>
        </w:rPr>
        <w:t xml:space="preserve"> -</w:t>
      </w:r>
      <w:r w:rsidR="0079684E">
        <w:rPr>
          <w:rFonts w:cs="Calibri"/>
        </w:rPr>
        <w:t xml:space="preserve"> </w:t>
      </w:r>
      <w:r w:rsidR="0079684E">
        <w:rPr>
          <w:rFonts w:cs="Calibri"/>
          <w:b/>
        </w:rPr>
        <w:t>AOP 254 Naknade građanima i kućanstvima u novcu</w:t>
      </w:r>
    </w:p>
    <w:p w:rsidR="0079684E" w:rsidRDefault="0079684E" w:rsidP="0079684E">
      <w:pPr>
        <w:tabs>
          <w:tab w:val="center" w:pos="-2977"/>
          <w:tab w:val="left" w:pos="540"/>
        </w:tabs>
        <w:spacing w:after="0"/>
        <w:jc w:val="both"/>
        <w:rPr>
          <w:rFonts w:cs="Calibri"/>
          <w:b/>
        </w:rPr>
      </w:pPr>
    </w:p>
    <w:p w:rsidR="0079684E" w:rsidRDefault="0079684E" w:rsidP="0079684E">
      <w:pPr>
        <w:tabs>
          <w:tab w:val="center" w:pos="-2977"/>
          <w:tab w:val="left" w:pos="540"/>
        </w:tabs>
        <w:spacing w:after="0"/>
        <w:jc w:val="both"/>
        <w:rPr>
          <w:rFonts w:cs="Calibri"/>
        </w:rPr>
      </w:pPr>
      <w:r>
        <w:rPr>
          <w:rFonts w:cs="Calibri"/>
        </w:rPr>
        <w:t>Na ovoj skupini konta evidentirane su isplate građanima i kućanstvima u novcu u iznosu 614.401.617 kn što je za 12% više u odnosu na prethodnu godinu. Do povećanja od 70.609.928 kn došlo je na stavci „Roditelj odgajatelj“ zbog sve većeg broja korisnika ove mjere.</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lastRenderedPageBreak/>
        <w:t>Pomoć obiteljima i kućanstvima 1.093.720 kn,</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t>Naknada za novorođenčad 80.242.516 kn,</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t>Naknade za mirovine i dodatke 57.444.990 kn,</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t>Stipendije i školarine 33.608.058 kn,</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t>Potpore djeci branitelja 25.589 kn,</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t>Ostale naknade iz proračuna 1.216.507 kn i</w:t>
      </w:r>
    </w:p>
    <w:p w:rsidR="0079684E" w:rsidRDefault="0079684E" w:rsidP="0079684E">
      <w:pPr>
        <w:pStyle w:val="ListParagraph"/>
        <w:numPr>
          <w:ilvl w:val="0"/>
          <w:numId w:val="18"/>
        </w:numPr>
        <w:tabs>
          <w:tab w:val="center" w:pos="-2977"/>
          <w:tab w:val="left" w:pos="540"/>
        </w:tabs>
        <w:autoSpaceDN w:val="0"/>
        <w:spacing w:line="240" w:lineRule="auto"/>
        <w:contextualSpacing w:val="0"/>
        <w:jc w:val="both"/>
        <w:rPr>
          <w:rFonts w:cs="Calibri"/>
        </w:rPr>
      </w:pPr>
      <w:r>
        <w:rPr>
          <w:rFonts w:cs="Calibri"/>
        </w:rPr>
        <w:t>Mjera „Roditelj odgajatelj“ 440.770.237.</w:t>
      </w:r>
    </w:p>
    <w:p w:rsidR="0079684E" w:rsidRDefault="0079684E" w:rsidP="0079684E">
      <w:pPr>
        <w:tabs>
          <w:tab w:val="center" w:pos="-2977"/>
          <w:tab w:val="left" w:pos="540"/>
        </w:tabs>
        <w:jc w:val="both"/>
        <w:rPr>
          <w:rFonts w:cs="Calibri"/>
        </w:rPr>
      </w:pPr>
    </w:p>
    <w:p w:rsidR="0079684E" w:rsidRDefault="0079684E" w:rsidP="0079684E">
      <w:pPr>
        <w:tabs>
          <w:tab w:val="center" w:pos="-2977"/>
          <w:tab w:val="left" w:pos="540"/>
        </w:tabs>
        <w:spacing w:after="0"/>
        <w:jc w:val="both"/>
      </w:pPr>
      <w:r>
        <w:rPr>
          <w:rFonts w:cs="Calibri"/>
          <w:b/>
        </w:rPr>
        <w:t xml:space="preserve">Bilješka br. </w:t>
      </w:r>
      <w:r w:rsidR="008B1B15">
        <w:rPr>
          <w:rFonts w:cs="Calibri"/>
          <w:b/>
        </w:rPr>
        <w:t>51</w:t>
      </w:r>
      <w:r>
        <w:rPr>
          <w:rFonts w:cs="Calibri"/>
        </w:rPr>
        <w:t xml:space="preserve"> </w:t>
      </w:r>
      <w:r>
        <w:rPr>
          <w:rFonts w:cs="Calibri"/>
          <w:b/>
        </w:rPr>
        <w:t>– AOP 255 Naknade građanima i kućanstvima u naravi</w:t>
      </w:r>
    </w:p>
    <w:p w:rsidR="0079684E" w:rsidRDefault="0079684E" w:rsidP="0079684E">
      <w:pPr>
        <w:tabs>
          <w:tab w:val="center" w:pos="-2977"/>
          <w:tab w:val="left" w:pos="540"/>
        </w:tabs>
        <w:spacing w:after="0"/>
        <w:jc w:val="both"/>
        <w:rPr>
          <w:rFonts w:cs="Calibri"/>
        </w:rPr>
      </w:pPr>
    </w:p>
    <w:p w:rsidR="0079684E" w:rsidRDefault="0079684E" w:rsidP="0079684E">
      <w:pPr>
        <w:tabs>
          <w:tab w:val="center" w:pos="-2977"/>
          <w:tab w:val="left" w:pos="540"/>
        </w:tabs>
        <w:spacing w:after="0"/>
        <w:jc w:val="both"/>
        <w:rPr>
          <w:rFonts w:cs="Calibri"/>
        </w:rPr>
      </w:pPr>
      <w:r>
        <w:rPr>
          <w:rFonts w:cs="Calibri"/>
        </w:rPr>
        <w:t>Naknade evidentirane na ovoj skupini računa manje su u odnosu na prethodnu godinu. Naknade građanima i kućanstvima iznose 153.471.158 kn i isplaćene su za:</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t>Sufinanciranje cijene prijevoza 100.473.762 kn,</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t>Pomoć i njega u kući 4.525.599 kn,</w:t>
      </w:r>
    </w:p>
    <w:p w:rsidR="0079684E" w:rsidRDefault="0079684E" w:rsidP="0079684E">
      <w:pPr>
        <w:pStyle w:val="ListParagraph"/>
        <w:numPr>
          <w:ilvl w:val="0"/>
          <w:numId w:val="18"/>
        </w:numPr>
        <w:tabs>
          <w:tab w:val="center" w:pos="-2977"/>
          <w:tab w:val="left" w:pos="540"/>
        </w:tabs>
        <w:autoSpaceDN w:val="0"/>
        <w:spacing w:after="0" w:line="240" w:lineRule="auto"/>
        <w:contextualSpacing w:val="0"/>
        <w:jc w:val="both"/>
        <w:rPr>
          <w:rFonts w:cs="Calibri"/>
        </w:rPr>
      </w:pPr>
      <w:r>
        <w:rPr>
          <w:rFonts w:cs="Calibri"/>
        </w:rPr>
        <w:t>Troškovi stanovanja i prehrane 10.085.187 kn i</w:t>
      </w:r>
    </w:p>
    <w:p w:rsidR="0079684E" w:rsidRDefault="0079684E" w:rsidP="0079684E">
      <w:pPr>
        <w:pStyle w:val="ListParagraph"/>
        <w:numPr>
          <w:ilvl w:val="0"/>
          <w:numId w:val="18"/>
        </w:numPr>
        <w:tabs>
          <w:tab w:val="center" w:pos="-2977"/>
          <w:tab w:val="left" w:pos="567"/>
        </w:tabs>
        <w:autoSpaceDN w:val="0"/>
        <w:spacing w:line="240" w:lineRule="auto"/>
        <w:ind w:left="567" w:hanging="218"/>
        <w:contextualSpacing w:val="0"/>
        <w:jc w:val="both"/>
        <w:rPr>
          <w:rFonts w:cs="Calibri"/>
        </w:rPr>
      </w:pPr>
      <w:r>
        <w:rPr>
          <w:rFonts w:cs="Calibri"/>
        </w:rPr>
        <w:t>Ostale naknade iz proračuna u naravi 38.386.611 kn. Na ovoj skupini najveći dio otpada na legalizaciju vodovodnih priključaka 23.491.086. Tu su još sadržani i rashodi vezani uz obrazovanje nezaposlenih branitelja, rehabilitaciju i sistematske preglede branitelja, nabava udžbenika za osnovne i srednje škole, prijevoz osoba s invaliditetom, poklon paketi za domove umirovljenika i za djecu socijalno ugroženih obitelji.</w:t>
      </w:r>
    </w:p>
    <w:p w:rsidR="00DE021B" w:rsidRDefault="00DE021B" w:rsidP="0079684E">
      <w:pPr>
        <w:tabs>
          <w:tab w:val="center" w:pos="-2977"/>
          <w:tab w:val="left" w:pos="540"/>
        </w:tabs>
        <w:jc w:val="both"/>
        <w:rPr>
          <w:rFonts w:cs="Calibri"/>
        </w:rPr>
      </w:pPr>
    </w:p>
    <w:p w:rsidR="0079684E" w:rsidRDefault="0079684E" w:rsidP="0079684E">
      <w:pPr>
        <w:tabs>
          <w:tab w:val="center" w:pos="-2977"/>
          <w:tab w:val="left" w:pos="540"/>
        </w:tabs>
        <w:spacing w:after="0"/>
        <w:jc w:val="both"/>
      </w:pPr>
      <w:r>
        <w:rPr>
          <w:rFonts w:cs="Calibri"/>
          <w:b/>
        </w:rPr>
        <w:t xml:space="preserve">Bilješka br. </w:t>
      </w:r>
      <w:r w:rsidR="008B1B15">
        <w:rPr>
          <w:rFonts w:cs="Calibri"/>
          <w:b/>
        </w:rPr>
        <w:t>52</w:t>
      </w:r>
      <w:r>
        <w:rPr>
          <w:rFonts w:cs="Calibri"/>
        </w:rPr>
        <w:t xml:space="preserve"> – </w:t>
      </w:r>
      <w:r>
        <w:rPr>
          <w:rFonts w:cs="Calibri"/>
          <w:b/>
        </w:rPr>
        <w:t>AOP 259 Tekuće donacije u novcu</w:t>
      </w:r>
    </w:p>
    <w:p w:rsidR="0079684E" w:rsidRDefault="0079684E" w:rsidP="0079684E">
      <w:pPr>
        <w:tabs>
          <w:tab w:val="center" w:pos="-2977"/>
          <w:tab w:val="left" w:pos="540"/>
        </w:tabs>
        <w:spacing w:after="0"/>
        <w:jc w:val="both"/>
        <w:rPr>
          <w:rFonts w:cs="Calibri"/>
        </w:rPr>
      </w:pPr>
    </w:p>
    <w:p w:rsidR="0079684E" w:rsidRDefault="0079684E" w:rsidP="0079684E">
      <w:pPr>
        <w:tabs>
          <w:tab w:val="center" w:pos="-2977"/>
          <w:tab w:val="left" w:pos="540"/>
        </w:tabs>
        <w:jc w:val="both"/>
        <w:rPr>
          <w:rFonts w:cs="Calibri"/>
        </w:rPr>
      </w:pPr>
      <w:r>
        <w:rPr>
          <w:rFonts w:cs="Calibri"/>
        </w:rPr>
        <w:t xml:space="preserve">Tekuće donacije u 2020. godini isplaćene su u iznosu 359.786.318 kn. Tekuće donacije isplaćene su: vjerskim zajednicama u iznosu 2.304.041 kn, nacionalnim manjinama 246.075 kn, udrugama i političkim strankama 46.742.609 kn, sportskim društvima 163.067.509 kn, zakladama i </w:t>
      </w:r>
      <w:proofErr w:type="spellStart"/>
      <w:r>
        <w:rPr>
          <w:rFonts w:cs="Calibri"/>
        </w:rPr>
        <w:t>fundacijama</w:t>
      </w:r>
      <w:proofErr w:type="spellEnd"/>
      <w:r>
        <w:rPr>
          <w:rFonts w:cs="Calibri"/>
        </w:rPr>
        <w:t xml:space="preserve"> 3.532.198 kn, tekuće donacije građanima i kućanstvima i humanitarnim organizacijama 32.500  te ostale tekuće donacije koje se odnose na isplate neprofitnim organizacijama iz djelatnosti zdravstva, kulture, privatnim i vjerskim vrtićima, organizacijama i zakladama iz djelatnosti socijale i sl. 143.861.386 kn.</w:t>
      </w:r>
    </w:p>
    <w:p w:rsidR="008B1B15" w:rsidRDefault="008B1B15" w:rsidP="0079684E">
      <w:pPr>
        <w:spacing w:after="0" w:line="242" w:lineRule="auto"/>
        <w:rPr>
          <w:b/>
        </w:rPr>
      </w:pPr>
    </w:p>
    <w:p w:rsidR="0079684E" w:rsidRDefault="00DE021B" w:rsidP="0079684E">
      <w:pPr>
        <w:spacing w:after="0" w:line="242" w:lineRule="auto"/>
        <w:rPr>
          <w:b/>
        </w:rPr>
      </w:pPr>
      <w:r>
        <w:rPr>
          <w:b/>
        </w:rPr>
        <w:t xml:space="preserve">Bilješka br. </w:t>
      </w:r>
      <w:r w:rsidR="008B1B15">
        <w:rPr>
          <w:b/>
        </w:rPr>
        <w:t>53</w:t>
      </w:r>
      <w:r w:rsidR="0079684E">
        <w:rPr>
          <w:b/>
        </w:rPr>
        <w:t xml:space="preserve"> – AOP 261 Tekuće donacije iz EU sredstava</w:t>
      </w:r>
    </w:p>
    <w:p w:rsidR="0079684E" w:rsidRDefault="0079684E" w:rsidP="0079684E">
      <w:pPr>
        <w:spacing w:after="0" w:line="242" w:lineRule="auto"/>
        <w:rPr>
          <w:b/>
        </w:rPr>
      </w:pPr>
    </w:p>
    <w:p w:rsidR="0079684E" w:rsidRDefault="0079684E" w:rsidP="0079684E">
      <w:pPr>
        <w:spacing w:after="0" w:line="242" w:lineRule="auto"/>
      </w:pPr>
      <w:r>
        <w:t>Iznose 4.179.536 kn i znatno su veće u odnosu na prethodnu godinu. Radi se o slijedećim projektima:</w:t>
      </w:r>
    </w:p>
    <w:p w:rsidR="0079684E" w:rsidRDefault="0079684E" w:rsidP="0079684E">
      <w:pPr>
        <w:pStyle w:val="ListParagraph"/>
        <w:numPr>
          <w:ilvl w:val="0"/>
          <w:numId w:val="18"/>
        </w:numPr>
        <w:suppressAutoHyphens/>
        <w:autoSpaceDN w:val="0"/>
        <w:spacing w:after="0" w:line="242" w:lineRule="auto"/>
        <w:contextualSpacing w:val="0"/>
        <w:textAlignment w:val="baseline"/>
      </w:pPr>
      <w:r>
        <w:t>Modernizacija II 241.233 kn,</w:t>
      </w:r>
    </w:p>
    <w:p w:rsidR="0079684E" w:rsidRDefault="0079684E" w:rsidP="0079684E">
      <w:pPr>
        <w:pStyle w:val="ListParagraph"/>
        <w:numPr>
          <w:ilvl w:val="0"/>
          <w:numId w:val="18"/>
        </w:numPr>
        <w:suppressAutoHyphens/>
        <w:autoSpaceDN w:val="0"/>
        <w:spacing w:after="0" w:line="242" w:lineRule="auto"/>
        <w:contextualSpacing w:val="0"/>
        <w:textAlignment w:val="baseline"/>
      </w:pPr>
      <w:r>
        <w:t>SUZI – socijalno se uključi i zaposli 3.282.115 kn,</w:t>
      </w:r>
    </w:p>
    <w:p w:rsidR="0079684E" w:rsidRDefault="0079684E" w:rsidP="0079684E">
      <w:pPr>
        <w:pStyle w:val="ListParagraph"/>
        <w:numPr>
          <w:ilvl w:val="0"/>
          <w:numId w:val="18"/>
        </w:numPr>
        <w:suppressAutoHyphens/>
        <w:autoSpaceDN w:val="0"/>
        <w:spacing w:after="0" w:line="242" w:lineRule="auto"/>
        <w:contextualSpacing w:val="0"/>
        <w:textAlignment w:val="baseline"/>
      </w:pPr>
      <w:r>
        <w:t>Mreža za mlade 336.998 kn,</w:t>
      </w:r>
    </w:p>
    <w:p w:rsidR="0079684E" w:rsidRDefault="0079684E" w:rsidP="0079684E">
      <w:pPr>
        <w:pStyle w:val="ListParagraph"/>
        <w:numPr>
          <w:ilvl w:val="0"/>
          <w:numId w:val="18"/>
        </w:numPr>
        <w:suppressAutoHyphens/>
        <w:autoSpaceDN w:val="0"/>
        <w:spacing w:after="0" w:line="242" w:lineRule="auto"/>
        <w:contextualSpacing w:val="0"/>
        <w:textAlignment w:val="baseline"/>
      </w:pPr>
      <w:r>
        <w:t>PARIZ – postani aktivni Rom/</w:t>
      </w:r>
      <w:proofErr w:type="spellStart"/>
      <w:r>
        <w:t>kinja</w:t>
      </w:r>
      <w:proofErr w:type="spellEnd"/>
      <w:r>
        <w:t xml:space="preserve"> i zaposli se 130.000 kn,</w:t>
      </w:r>
    </w:p>
    <w:p w:rsidR="0079684E" w:rsidRDefault="0079684E" w:rsidP="0079684E">
      <w:pPr>
        <w:pStyle w:val="ListParagraph"/>
        <w:numPr>
          <w:ilvl w:val="0"/>
          <w:numId w:val="18"/>
        </w:numPr>
        <w:suppressAutoHyphens/>
        <w:autoSpaceDN w:val="0"/>
        <w:spacing w:after="0" w:line="242" w:lineRule="auto"/>
        <w:contextualSpacing w:val="0"/>
        <w:textAlignment w:val="baseline"/>
      </w:pPr>
      <w:r>
        <w:t xml:space="preserve">Centar za integraciju 144.000 kn i </w:t>
      </w:r>
    </w:p>
    <w:p w:rsidR="0079684E" w:rsidRDefault="0079684E" w:rsidP="0079684E">
      <w:pPr>
        <w:pStyle w:val="ListParagraph"/>
        <w:numPr>
          <w:ilvl w:val="0"/>
          <w:numId w:val="18"/>
        </w:numPr>
        <w:suppressAutoHyphens/>
        <w:autoSpaceDN w:val="0"/>
        <w:spacing w:after="0" w:line="242" w:lineRule="auto"/>
        <w:contextualSpacing w:val="0"/>
        <w:textAlignment w:val="baseline"/>
      </w:pPr>
      <w:r>
        <w:t>Osobe s invaliditetom 45.191 kn.</w:t>
      </w:r>
    </w:p>
    <w:p w:rsidR="0079684E" w:rsidRDefault="0079684E" w:rsidP="0079684E">
      <w:pPr>
        <w:spacing w:after="0" w:line="242" w:lineRule="auto"/>
      </w:pPr>
    </w:p>
    <w:p w:rsidR="00A7431C" w:rsidRDefault="00A7431C" w:rsidP="0079684E">
      <w:pPr>
        <w:tabs>
          <w:tab w:val="center" w:pos="-2977"/>
          <w:tab w:val="left" w:pos="540"/>
        </w:tabs>
        <w:spacing w:after="0"/>
        <w:jc w:val="both"/>
        <w:rPr>
          <w:rFonts w:cs="Calibri"/>
          <w:b/>
        </w:rPr>
      </w:pPr>
    </w:p>
    <w:p w:rsidR="0079684E" w:rsidRDefault="0079684E" w:rsidP="0079684E">
      <w:pPr>
        <w:tabs>
          <w:tab w:val="center" w:pos="-2977"/>
          <w:tab w:val="left" w:pos="540"/>
        </w:tabs>
        <w:spacing w:after="0"/>
        <w:jc w:val="both"/>
      </w:pPr>
      <w:r>
        <w:rPr>
          <w:rFonts w:cs="Calibri"/>
          <w:b/>
        </w:rPr>
        <w:t xml:space="preserve">Bilješka br. </w:t>
      </w:r>
      <w:r w:rsidR="008B1B15">
        <w:rPr>
          <w:rFonts w:cs="Calibri"/>
          <w:b/>
        </w:rPr>
        <w:t>54</w:t>
      </w:r>
      <w:r>
        <w:rPr>
          <w:rFonts w:cs="Calibri"/>
        </w:rPr>
        <w:t xml:space="preserve"> – </w:t>
      </w:r>
      <w:r>
        <w:rPr>
          <w:rFonts w:cs="Calibri"/>
          <w:b/>
        </w:rPr>
        <w:t>AOP 263 Kapitalne donacije neprofitnim organizacijama</w:t>
      </w:r>
    </w:p>
    <w:p w:rsidR="0079684E" w:rsidRDefault="0079684E" w:rsidP="0079684E">
      <w:pPr>
        <w:tabs>
          <w:tab w:val="center" w:pos="-2977"/>
          <w:tab w:val="left" w:pos="540"/>
        </w:tabs>
        <w:spacing w:after="0"/>
        <w:jc w:val="both"/>
        <w:rPr>
          <w:rFonts w:cs="Calibri"/>
        </w:rPr>
      </w:pPr>
    </w:p>
    <w:p w:rsidR="00FC742D" w:rsidRDefault="0079684E" w:rsidP="00FC742D">
      <w:pPr>
        <w:tabs>
          <w:tab w:val="center" w:pos="-2977"/>
          <w:tab w:val="left" w:pos="540"/>
        </w:tabs>
        <w:jc w:val="both"/>
        <w:rPr>
          <w:rFonts w:cs="Calibri"/>
        </w:rPr>
      </w:pPr>
      <w:r>
        <w:rPr>
          <w:rFonts w:cs="Calibri"/>
        </w:rPr>
        <w:t>Na ovoj skupini konta evidentirane su kapitalne donacije u ukupnom iznosu 6.240.001 kn. Čitav iznos isplaćen je vjerskim zajednicama od čega je 1.000.000 kn isplaćen je za obnovu Zag</w:t>
      </w:r>
      <w:r w:rsidR="00FC742D">
        <w:rPr>
          <w:rFonts w:cs="Calibri"/>
        </w:rPr>
        <w:t>rebačke katedrale nakon potresa.</w:t>
      </w:r>
    </w:p>
    <w:p w:rsidR="0079684E" w:rsidRPr="00FC742D" w:rsidRDefault="0079684E" w:rsidP="00FC742D">
      <w:pPr>
        <w:tabs>
          <w:tab w:val="center" w:pos="-2977"/>
          <w:tab w:val="left" w:pos="540"/>
        </w:tabs>
        <w:jc w:val="both"/>
        <w:rPr>
          <w:rFonts w:cs="Calibri"/>
        </w:rPr>
      </w:pPr>
      <w:r>
        <w:rPr>
          <w:rFonts w:cs="Calibri"/>
          <w:b/>
        </w:rPr>
        <w:lastRenderedPageBreak/>
        <w:t>Bilješka br.</w:t>
      </w:r>
      <w:r w:rsidR="00DE021B">
        <w:rPr>
          <w:rFonts w:cs="Calibri"/>
          <w:b/>
        </w:rPr>
        <w:t xml:space="preserve"> </w:t>
      </w:r>
      <w:r w:rsidR="008B1B15">
        <w:rPr>
          <w:rFonts w:cs="Calibri"/>
          <w:b/>
        </w:rPr>
        <w:t>55</w:t>
      </w:r>
      <w:r>
        <w:rPr>
          <w:rFonts w:cs="Calibri"/>
        </w:rPr>
        <w:t xml:space="preserve"> – </w:t>
      </w:r>
      <w:r>
        <w:rPr>
          <w:rFonts w:cs="Calibri"/>
          <w:b/>
        </w:rPr>
        <w:t>AOP 273 Kapitalne pomoći kreditnim i ostalim FI te trgovačkim društvima u javnom sektoru</w:t>
      </w:r>
    </w:p>
    <w:p w:rsidR="0079684E" w:rsidRDefault="0079684E" w:rsidP="0079684E">
      <w:pPr>
        <w:autoSpaceDE w:val="0"/>
        <w:spacing w:after="0"/>
        <w:jc w:val="both"/>
        <w:rPr>
          <w:rFonts w:cs="Calibri"/>
        </w:rPr>
      </w:pPr>
    </w:p>
    <w:p w:rsidR="0079684E" w:rsidRDefault="0079684E" w:rsidP="0079684E">
      <w:pPr>
        <w:autoSpaceDE w:val="0"/>
        <w:jc w:val="both"/>
        <w:rPr>
          <w:rFonts w:cs="Calibri"/>
        </w:rPr>
      </w:pPr>
      <w:r>
        <w:rPr>
          <w:rFonts w:cs="Calibri"/>
        </w:rPr>
        <w:t>Na ovoj skupini evidentirane su kapitalne pomoći isplaćene Zagrebačkom centru za gospodarenje otpadom 7.401.478 kn i ZET-u 9.331.687 kn. ZET-u se isplaćuje kapitalna pomoć za otplatu kredita za izgradnju žičare.</w:t>
      </w:r>
    </w:p>
    <w:p w:rsidR="004F1269" w:rsidRDefault="004F1269" w:rsidP="0079684E">
      <w:pPr>
        <w:spacing w:after="0" w:line="242" w:lineRule="auto"/>
      </w:pPr>
    </w:p>
    <w:p w:rsidR="008B1B15" w:rsidRDefault="008B1B15" w:rsidP="0079684E">
      <w:pPr>
        <w:autoSpaceDE w:val="0"/>
        <w:spacing w:after="0"/>
        <w:jc w:val="both"/>
        <w:rPr>
          <w:rFonts w:cs="Calibri"/>
          <w:b/>
        </w:rPr>
      </w:pPr>
    </w:p>
    <w:p w:rsidR="0079684E" w:rsidRDefault="0079684E" w:rsidP="0079684E">
      <w:pPr>
        <w:autoSpaceDE w:val="0"/>
        <w:spacing w:after="0"/>
        <w:jc w:val="both"/>
      </w:pPr>
      <w:r>
        <w:rPr>
          <w:rFonts w:cs="Calibri"/>
          <w:b/>
        </w:rPr>
        <w:t>Bilješka br. 5</w:t>
      </w:r>
      <w:r w:rsidR="008B1B15">
        <w:rPr>
          <w:rFonts w:cs="Calibri"/>
          <w:b/>
        </w:rPr>
        <w:t>6</w:t>
      </w:r>
      <w:r>
        <w:rPr>
          <w:rFonts w:cs="Calibri"/>
        </w:rPr>
        <w:t xml:space="preserve"> – </w:t>
      </w:r>
      <w:r>
        <w:rPr>
          <w:rFonts w:cs="Calibri"/>
          <w:b/>
        </w:rPr>
        <w:t>AOP 274 Kapitalne pomoći kreditnim i ostalim FI te trgovačkim društvima izvan javnog sektora</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Na ovoj skupini računa evidentirana je kapitalna pomoć Zagrebačkim otpadnim vodama od 140.000.000 kn.</w:t>
      </w:r>
    </w:p>
    <w:p w:rsidR="00DE021B" w:rsidRDefault="00DE021B" w:rsidP="00FE2A5E">
      <w:pPr>
        <w:rPr>
          <w:rFonts w:cstheme="minorHAnsi"/>
          <w:b/>
          <w:color w:val="000000" w:themeColor="text1"/>
          <w:u w:val="single"/>
        </w:rPr>
      </w:pPr>
    </w:p>
    <w:p w:rsidR="004120DD" w:rsidRDefault="004120DD" w:rsidP="00FE2A5E">
      <w:pPr>
        <w:rPr>
          <w:rFonts w:cstheme="minorHAnsi"/>
          <w:b/>
          <w:color w:val="000000" w:themeColor="text1"/>
          <w:u w:val="single"/>
        </w:rPr>
      </w:pPr>
    </w:p>
    <w:p w:rsidR="0079684E" w:rsidRDefault="0079684E" w:rsidP="00FE2A5E">
      <w:pPr>
        <w:rPr>
          <w:rFonts w:cstheme="minorHAnsi"/>
          <w:b/>
          <w:color w:val="000000" w:themeColor="text1"/>
          <w:u w:val="single"/>
        </w:rPr>
      </w:pPr>
      <w:r w:rsidRPr="0079684E">
        <w:rPr>
          <w:rFonts w:cstheme="minorHAnsi"/>
          <w:b/>
          <w:color w:val="000000" w:themeColor="text1"/>
          <w:u w:val="single"/>
        </w:rPr>
        <w:t xml:space="preserve">PRIHODI OD NEFINANCIJSKE IMOVINE </w:t>
      </w:r>
    </w:p>
    <w:p w:rsidR="003A5991" w:rsidRPr="004F1269" w:rsidRDefault="003A5991" w:rsidP="00FE2A5E">
      <w:pPr>
        <w:rPr>
          <w:rFonts w:cstheme="minorHAnsi"/>
          <w:b/>
          <w:color w:val="FF0000"/>
          <w:u w:val="single"/>
        </w:rPr>
      </w:pPr>
    </w:p>
    <w:p w:rsidR="0079684E" w:rsidRPr="004F1269" w:rsidRDefault="008B1B15" w:rsidP="0079684E">
      <w:pPr>
        <w:rPr>
          <w:rFonts w:cstheme="minorHAnsi"/>
          <w:b/>
        </w:rPr>
      </w:pPr>
      <w:r w:rsidRPr="004F1269">
        <w:rPr>
          <w:rFonts w:cstheme="minorHAnsi"/>
          <w:b/>
          <w:color w:val="000000" w:themeColor="text1"/>
        </w:rPr>
        <w:t xml:space="preserve">Bilješka br. 57 </w:t>
      </w:r>
      <w:r w:rsidR="0079684E" w:rsidRPr="004F1269">
        <w:rPr>
          <w:rFonts w:cstheme="minorHAnsi"/>
          <w:b/>
        </w:rPr>
        <w:t>AOP 292</w:t>
      </w:r>
      <w:r w:rsidRPr="004F1269">
        <w:rPr>
          <w:rFonts w:cstheme="minorHAnsi"/>
          <w:b/>
        </w:rPr>
        <w:t xml:space="preserve"> - </w:t>
      </w:r>
      <w:r w:rsidR="0079684E" w:rsidRPr="004F1269">
        <w:rPr>
          <w:rFonts w:cstheme="minorHAnsi"/>
          <w:b/>
          <w:i/>
        </w:rPr>
        <w:t>Zemljište</w:t>
      </w:r>
    </w:p>
    <w:p w:rsidR="0079684E" w:rsidRPr="004F1269" w:rsidRDefault="0079684E" w:rsidP="0079684E">
      <w:pPr>
        <w:jc w:val="both"/>
        <w:rPr>
          <w:rFonts w:cstheme="minorHAnsi"/>
        </w:rPr>
      </w:pPr>
      <w:r w:rsidRPr="004F1269">
        <w:rPr>
          <w:rFonts w:cstheme="minorHAnsi"/>
        </w:rPr>
        <w:t xml:space="preserve">Prihodi od prodaje zemljišta vezani su uz zainteresiranost potencijalnih kupaca za kupnju pojedinog građevinskog zemljišta, te pribavljanje potrebne dokumentacije za raspisivanje natječaja za kupoprodaju zemljišta. Obzirom da je u cijeloj 2020. smanjena gospodarska aktivnost uslijed </w:t>
      </w:r>
      <w:proofErr w:type="spellStart"/>
      <w:r w:rsidRPr="004F1269">
        <w:rPr>
          <w:rFonts w:cstheme="minorHAnsi"/>
        </w:rPr>
        <w:t>pandemije</w:t>
      </w:r>
      <w:proofErr w:type="spellEnd"/>
      <w:r w:rsidRPr="004F1269">
        <w:rPr>
          <w:rFonts w:cstheme="minorHAnsi"/>
        </w:rPr>
        <w:t xml:space="preserve"> korona virusa, te posljedice potresa, samim tim je i smanjen prihod od prodaje zemljišta.</w:t>
      </w:r>
    </w:p>
    <w:p w:rsidR="008B1B15" w:rsidRPr="004F1269" w:rsidRDefault="008B1B15" w:rsidP="0079684E">
      <w:pPr>
        <w:jc w:val="both"/>
        <w:rPr>
          <w:rFonts w:cstheme="minorHAnsi"/>
          <w:b/>
        </w:rPr>
      </w:pPr>
    </w:p>
    <w:p w:rsidR="0079684E" w:rsidRPr="004F1269" w:rsidRDefault="008B1B15" w:rsidP="0079684E">
      <w:pPr>
        <w:jc w:val="both"/>
        <w:rPr>
          <w:rFonts w:cstheme="minorHAnsi"/>
          <w:b/>
        </w:rPr>
      </w:pPr>
      <w:r w:rsidRPr="004F1269">
        <w:rPr>
          <w:rFonts w:cstheme="minorHAnsi"/>
          <w:b/>
        </w:rPr>
        <w:t xml:space="preserve">Bilješka br. 58 </w:t>
      </w:r>
      <w:r w:rsidR="0079684E" w:rsidRPr="004F1269">
        <w:rPr>
          <w:rFonts w:cstheme="minorHAnsi"/>
          <w:b/>
        </w:rPr>
        <w:t>AOP 299</w:t>
      </w:r>
      <w:r w:rsidRPr="004F1269">
        <w:rPr>
          <w:rFonts w:cstheme="minorHAnsi"/>
          <w:b/>
        </w:rPr>
        <w:t xml:space="preserve"> - </w:t>
      </w:r>
      <w:r w:rsidR="0079684E" w:rsidRPr="004F1269">
        <w:rPr>
          <w:rFonts w:cstheme="minorHAnsi"/>
          <w:b/>
          <w:i/>
        </w:rPr>
        <w:t>Ostala prava</w:t>
      </w:r>
    </w:p>
    <w:p w:rsidR="0079684E" w:rsidRPr="004F1269" w:rsidRDefault="0079684E" w:rsidP="0079684E">
      <w:pPr>
        <w:jc w:val="both"/>
        <w:rPr>
          <w:rFonts w:cstheme="minorHAnsi"/>
        </w:rPr>
      </w:pPr>
      <w:r w:rsidRPr="004F1269">
        <w:rPr>
          <w:rFonts w:cstheme="minorHAnsi"/>
        </w:rPr>
        <w:t xml:space="preserve">Ostala prava odnose se na ugovore o pravu građenja. Smanjeni prihodi vezani su uz postupak </w:t>
      </w:r>
      <w:proofErr w:type="spellStart"/>
      <w:r w:rsidRPr="004F1269">
        <w:rPr>
          <w:rFonts w:cstheme="minorHAnsi"/>
        </w:rPr>
        <w:t>predstečajne</w:t>
      </w:r>
      <w:proofErr w:type="spellEnd"/>
      <w:r w:rsidRPr="004F1269">
        <w:rPr>
          <w:rFonts w:cstheme="minorHAnsi"/>
        </w:rPr>
        <w:t xml:space="preserve"> nagodbe najvećeg dužnika, kao i činjenice da je većina ugovora o pravu građenja vezana uz ugostiteljske objekte koji su dio godine bili zatvoreni.</w:t>
      </w:r>
    </w:p>
    <w:p w:rsidR="008B1B15" w:rsidRPr="004F1269" w:rsidRDefault="008B1B15" w:rsidP="0079684E">
      <w:pPr>
        <w:jc w:val="both"/>
        <w:rPr>
          <w:rFonts w:cstheme="minorHAnsi"/>
          <w:b/>
        </w:rPr>
      </w:pPr>
    </w:p>
    <w:p w:rsidR="0079684E" w:rsidRPr="004F1269" w:rsidRDefault="008B1B15" w:rsidP="0079684E">
      <w:pPr>
        <w:jc w:val="both"/>
        <w:rPr>
          <w:rFonts w:cstheme="minorHAnsi"/>
          <w:b/>
        </w:rPr>
      </w:pPr>
      <w:r w:rsidRPr="004F1269">
        <w:rPr>
          <w:rFonts w:cstheme="minorHAnsi"/>
          <w:b/>
        </w:rPr>
        <w:t xml:space="preserve">Bilješka br. 59 </w:t>
      </w:r>
      <w:r w:rsidR="0079684E" w:rsidRPr="004F1269">
        <w:rPr>
          <w:rFonts w:cstheme="minorHAnsi"/>
          <w:b/>
        </w:rPr>
        <w:t>AOP 305</w:t>
      </w:r>
      <w:r w:rsidRPr="004F1269">
        <w:rPr>
          <w:rFonts w:cstheme="minorHAnsi"/>
          <w:b/>
        </w:rPr>
        <w:t xml:space="preserve"> - </w:t>
      </w:r>
      <w:r w:rsidR="0079684E" w:rsidRPr="004F1269">
        <w:rPr>
          <w:rFonts w:cstheme="minorHAnsi"/>
          <w:b/>
          <w:i/>
        </w:rPr>
        <w:t>Poslovni objekti</w:t>
      </w:r>
    </w:p>
    <w:p w:rsidR="004D6EE7" w:rsidRDefault="0079684E" w:rsidP="00BE5F8A">
      <w:pPr>
        <w:jc w:val="both"/>
        <w:rPr>
          <w:rFonts w:cstheme="minorHAnsi"/>
        </w:rPr>
      </w:pPr>
      <w:r w:rsidRPr="004F1269">
        <w:rPr>
          <w:rFonts w:cstheme="minorHAnsi"/>
        </w:rPr>
        <w:t>Ostvareni prihodi su veći nego prethodne godine budući da je u 2020. uplaćena ugovorena cijena u iznosu od 59.830.000,00 kuna po ugovoru  o kupoprodaji nekretnina zaključenom 22. veljače 2020. sa APIS IT d.o.o.</w:t>
      </w:r>
    </w:p>
    <w:p w:rsidR="004120DD" w:rsidRPr="00BE5F8A" w:rsidRDefault="004120DD" w:rsidP="00BE5F8A">
      <w:pPr>
        <w:jc w:val="both"/>
        <w:rPr>
          <w:rFonts w:cstheme="minorHAnsi"/>
          <w:i/>
        </w:rPr>
      </w:pPr>
    </w:p>
    <w:p w:rsidR="008B1B15" w:rsidRDefault="008B1B15" w:rsidP="008B1B15">
      <w:pPr>
        <w:rPr>
          <w:rFonts w:cstheme="minorHAnsi"/>
          <w:b/>
          <w:color w:val="000000" w:themeColor="text1"/>
          <w:u w:val="single"/>
        </w:rPr>
      </w:pPr>
      <w:r>
        <w:rPr>
          <w:rFonts w:cstheme="minorHAnsi"/>
          <w:b/>
          <w:color w:val="000000" w:themeColor="text1"/>
          <w:u w:val="single"/>
        </w:rPr>
        <w:t>RASHODI ZA NABAVU</w:t>
      </w:r>
      <w:r w:rsidRPr="0079684E">
        <w:rPr>
          <w:rFonts w:cstheme="minorHAnsi"/>
          <w:b/>
          <w:color w:val="000000" w:themeColor="text1"/>
          <w:u w:val="single"/>
        </w:rPr>
        <w:t xml:space="preserve"> NEFINANCIJSKE IMOVINE </w:t>
      </w:r>
    </w:p>
    <w:p w:rsidR="008B1B15" w:rsidRDefault="008B1B15" w:rsidP="0079684E">
      <w:pPr>
        <w:autoSpaceDE w:val="0"/>
        <w:spacing w:after="0"/>
        <w:jc w:val="both"/>
        <w:rPr>
          <w:rFonts w:cs="Calibri"/>
          <w:b/>
        </w:rPr>
      </w:pPr>
    </w:p>
    <w:p w:rsidR="0079684E" w:rsidRDefault="0079684E" w:rsidP="0079684E">
      <w:pPr>
        <w:autoSpaceDE w:val="0"/>
        <w:spacing w:after="0"/>
        <w:jc w:val="both"/>
      </w:pPr>
      <w:r>
        <w:rPr>
          <w:rFonts w:cs="Calibri"/>
          <w:b/>
        </w:rPr>
        <w:t xml:space="preserve">Bilješka br. </w:t>
      </w:r>
      <w:r w:rsidR="008B1B15">
        <w:rPr>
          <w:rFonts w:cs="Calibri"/>
          <w:b/>
        </w:rPr>
        <w:t>60</w:t>
      </w:r>
      <w:r>
        <w:rPr>
          <w:rFonts w:cs="Calibri"/>
          <w:b/>
        </w:rPr>
        <w:t xml:space="preserve"> - AOP 341 Rashodi za nabavu nefinancijske imovine</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Rashodi za nabavku nefinancijske imovine iznose 737.203.463 kn i što je za 27% manje u odnosu na 2019. godinu.</w:t>
      </w:r>
    </w:p>
    <w:p w:rsidR="0079684E" w:rsidRDefault="008B1B15" w:rsidP="0079684E">
      <w:pPr>
        <w:tabs>
          <w:tab w:val="center" w:pos="-2977"/>
          <w:tab w:val="left" w:pos="540"/>
        </w:tabs>
        <w:spacing w:after="0"/>
        <w:jc w:val="both"/>
        <w:rPr>
          <w:rFonts w:cs="Calibri"/>
        </w:rPr>
      </w:pPr>
      <w:r>
        <w:rPr>
          <w:rFonts w:cs="Calibri"/>
        </w:rPr>
        <w:lastRenderedPageBreak/>
        <w:t>Tablica 4</w:t>
      </w:r>
      <w:r w:rsidR="0079684E">
        <w:rPr>
          <w:rFonts w:cs="Calibri"/>
        </w:rPr>
        <w:t>: Rashodi za nabavku nefinancijske imovine</w:t>
      </w:r>
    </w:p>
    <w:p w:rsidR="0079684E" w:rsidRDefault="0079684E" w:rsidP="0079684E">
      <w:pPr>
        <w:tabs>
          <w:tab w:val="center" w:pos="-2977"/>
          <w:tab w:val="left" w:pos="540"/>
        </w:tabs>
        <w:spacing w:after="0"/>
        <w:jc w:val="both"/>
        <w:rPr>
          <w:rFonts w:cs="Calibri"/>
        </w:rPr>
      </w:pPr>
    </w:p>
    <w:tbl>
      <w:tblPr>
        <w:tblW w:w="8012" w:type="dxa"/>
        <w:jc w:val="center"/>
        <w:tblCellMar>
          <w:left w:w="10" w:type="dxa"/>
          <w:right w:w="10" w:type="dxa"/>
        </w:tblCellMar>
        <w:tblLook w:val="0000" w:firstRow="0" w:lastRow="0" w:firstColumn="0" w:lastColumn="0" w:noHBand="0" w:noVBand="0"/>
      </w:tblPr>
      <w:tblGrid>
        <w:gridCol w:w="651"/>
        <w:gridCol w:w="3030"/>
        <w:gridCol w:w="533"/>
        <w:gridCol w:w="1533"/>
        <w:gridCol w:w="1565"/>
        <w:gridCol w:w="700"/>
      </w:tblGrid>
      <w:tr w:rsidR="0079684E" w:rsidTr="0079684E">
        <w:trPr>
          <w:trHeight w:val="416"/>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6"/>
                <w:szCs w:val="16"/>
              </w:rPr>
            </w:pPr>
            <w:r>
              <w:rPr>
                <w:rFonts w:cs="Calibri"/>
                <w:sz w:val="16"/>
                <w:szCs w:val="16"/>
              </w:rPr>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OPIS</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AOP</w:t>
            </w:r>
          </w:p>
        </w:tc>
        <w:tc>
          <w:tcPr>
            <w:tcW w:w="153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Ostvareno prethodne godine</w:t>
            </w:r>
          </w:p>
        </w:tc>
        <w:tc>
          <w:tcPr>
            <w:tcW w:w="15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Ostvareno u tekućem razdoblju</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6"/>
                <w:szCs w:val="16"/>
              </w:rPr>
            </w:pPr>
            <w:r>
              <w:rPr>
                <w:rFonts w:cs="Calibri"/>
                <w:sz w:val="16"/>
                <w:szCs w:val="16"/>
              </w:rPr>
              <w:t>INDEKS</w:t>
            </w:r>
          </w:p>
        </w:tc>
      </w:tr>
      <w:tr w:rsidR="0079684E" w:rsidTr="0079684E">
        <w:trPr>
          <w:trHeight w:val="21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2</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6</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RASHODI ZA NABAVU NEFINANCIJSKE IMOVINE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341</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1.005.242.613</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737.203.463</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73</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RASHODI ZA NABAVU NEPROIZVEDENE DUGOTRAJNE IMOVINE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342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60.134.085</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12.008.337</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21</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411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Materijalna imovina – prirodna bogatstva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343</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54.869.152</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6.142.978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11</w:t>
            </w:r>
          </w:p>
        </w:tc>
      </w:tr>
      <w:tr w:rsidR="0079684E" w:rsidTr="0079684E">
        <w:trPr>
          <w:trHeight w:val="54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412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Nematerijalna imovina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347</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5.264.933</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6.865.359</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130</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RASHODI ZA NABAVU PROIZVEDENE DUGOTRAJNE IMOVINE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354</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814.659.814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607.408.118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75</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421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Građevinski objekti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355</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791.083.367</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571.536.748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72</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422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Postrojenja i oprema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360</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19.814.750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22.845.469</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56</w:t>
            </w:r>
          </w:p>
        </w:tc>
      </w:tr>
      <w:tr w:rsidR="0079684E" w:rsidTr="0079684E">
        <w:trPr>
          <w:trHeight w:val="57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423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Prijevozna sredstva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369</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36.237</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7.522.276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424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Knjige, umjetnička djela i ostale izložbene vrijednosti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374</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32.982</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39.906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121</w:t>
            </w:r>
          </w:p>
        </w:tc>
      </w:tr>
      <w:tr w:rsidR="0079684E" w:rsidTr="0079684E">
        <w:trPr>
          <w:trHeight w:val="62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426</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Nematerijalna proizvedena imovina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 xml:space="preserve">    382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3.692.478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5.463.719</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147</w:t>
            </w:r>
          </w:p>
        </w:tc>
      </w:tr>
      <w:tr w:rsidR="0079684E" w:rsidTr="0079684E">
        <w:trPr>
          <w:trHeight w:val="45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45</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RASHODI ZA DODATNA ULAGANJA NA NEFINANCIJSKOJ IMOVINI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p>
          <w:p w:rsidR="0079684E" w:rsidRDefault="0079684E" w:rsidP="0079684E">
            <w:pPr>
              <w:autoSpaceDE w:val="0"/>
              <w:spacing w:after="0"/>
              <w:jc w:val="both"/>
              <w:rPr>
                <w:rFonts w:cs="Calibri"/>
                <w:sz w:val="18"/>
                <w:szCs w:val="18"/>
              </w:rPr>
            </w:pPr>
            <w:r>
              <w:rPr>
                <w:rFonts w:cs="Calibri"/>
                <w:sz w:val="18"/>
                <w:szCs w:val="18"/>
              </w:rPr>
              <w:t>393</w:t>
            </w:r>
          </w:p>
          <w:p w:rsidR="0079684E" w:rsidRDefault="0079684E" w:rsidP="0079684E">
            <w:pPr>
              <w:autoSpaceDE w:val="0"/>
              <w:spacing w:after="0"/>
              <w:jc w:val="both"/>
              <w:rPr>
                <w:rFonts w:cs="Calibri"/>
                <w:sz w:val="18"/>
                <w:szCs w:val="18"/>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130.448.714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116.787.008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90</w:t>
            </w:r>
          </w:p>
        </w:tc>
      </w:tr>
      <w:tr w:rsidR="0079684E" w:rsidTr="0079684E">
        <w:trPr>
          <w:trHeight w:val="43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451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Dodatna ulaganja na građevinskim objektima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394</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128.010.685</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114.283.217</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89</w:t>
            </w:r>
          </w:p>
        </w:tc>
      </w:tr>
    </w:tbl>
    <w:p w:rsidR="0079684E" w:rsidRDefault="0079684E" w:rsidP="0079684E">
      <w:pPr>
        <w:autoSpaceDE w:val="0"/>
        <w:spacing w:after="0"/>
        <w:jc w:val="both"/>
        <w:rPr>
          <w:rFonts w:cs="Calibri"/>
          <w:b/>
        </w:rPr>
      </w:pPr>
    </w:p>
    <w:p w:rsidR="0079684E" w:rsidRDefault="0079684E" w:rsidP="0079684E">
      <w:pPr>
        <w:autoSpaceDE w:val="0"/>
        <w:spacing w:after="0"/>
        <w:jc w:val="both"/>
        <w:rPr>
          <w:rFonts w:cs="Calibri"/>
          <w:b/>
        </w:rPr>
      </w:pPr>
    </w:p>
    <w:p w:rsidR="0079684E" w:rsidRDefault="0079684E" w:rsidP="0079684E">
      <w:pPr>
        <w:autoSpaceDE w:val="0"/>
        <w:spacing w:after="0"/>
        <w:jc w:val="both"/>
      </w:pPr>
      <w:r>
        <w:rPr>
          <w:rFonts w:cs="Calibri"/>
          <w:b/>
        </w:rPr>
        <w:t xml:space="preserve">Bilješka br. </w:t>
      </w:r>
      <w:r w:rsidR="008B1B15">
        <w:rPr>
          <w:rFonts w:cs="Calibri"/>
          <w:b/>
        </w:rPr>
        <w:t>61</w:t>
      </w:r>
      <w:r>
        <w:rPr>
          <w:rFonts w:cs="Calibri"/>
        </w:rPr>
        <w:t xml:space="preserve"> – </w:t>
      </w:r>
      <w:r>
        <w:rPr>
          <w:rFonts w:cs="Calibri"/>
          <w:b/>
        </w:rPr>
        <w:t xml:space="preserve">AOP 344 Zemljište </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Na kupnju zemljišta u 2020. godini utrošeno je 6.142.978 kn što je 89% manje u odnosu na prethodnu godinu. Kupljena su slijedeća zemljišta:</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Zemljište katastarska općina Centar 1.240.000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Zemljište za pročistač otpadnih voda 631.351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Zemljišta – naknade za oduzetu imovinu 4.271.601 kn,</w:t>
      </w:r>
    </w:p>
    <w:p w:rsidR="0079684E" w:rsidRDefault="0079684E" w:rsidP="0079684E">
      <w:pPr>
        <w:pStyle w:val="ListParagraph"/>
        <w:numPr>
          <w:ilvl w:val="0"/>
          <w:numId w:val="19"/>
        </w:numPr>
        <w:suppressAutoHyphens/>
        <w:autoSpaceDE w:val="0"/>
        <w:autoSpaceDN w:val="0"/>
        <w:spacing w:line="240" w:lineRule="auto"/>
        <w:contextualSpacing w:val="0"/>
        <w:jc w:val="both"/>
        <w:textAlignment w:val="baseline"/>
        <w:rPr>
          <w:rFonts w:cs="Calibri"/>
        </w:rPr>
      </w:pPr>
      <w:r>
        <w:rPr>
          <w:rFonts w:cs="Calibri"/>
        </w:rPr>
        <w:t xml:space="preserve">Zemljište – </w:t>
      </w:r>
      <w:proofErr w:type="spellStart"/>
      <w:r>
        <w:rPr>
          <w:rFonts w:cs="Calibri"/>
        </w:rPr>
        <w:t>ošasna</w:t>
      </w:r>
      <w:proofErr w:type="spellEnd"/>
      <w:r>
        <w:rPr>
          <w:rFonts w:cs="Calibri"/>
        </w:rPr>
        <w:t xml:space="preserve"> imovina 26 kn.</w:t>
      </w:r>
    </w:p>
    <w:p w:rsidR="0079684E" w:rsidRDefault="0079684E" w:rsidP="0079684E">
      <w:pPr>
        <w:autoSpaceDE w:val="0"/>
        <w:jc w:val="both"/>
        <w:rPr>
          <w:rFonts w:cs="Calibri"/>
        </w:rPr>
      </w:pPr>
    </w:p>
    <w:p w:rsidR="0079684E" w:rsidRDefault="0079684E" w:rsidP="0079684E">
      <w:pPr>
        <w:autoSpaceDE w:val="0"/>
        <w:spacing w:after="0"/>
        <w:jc w:val="both"/>
        <w:rPr>
          <w:rFonts w:cs="Calibri"/>
          <w:b/>
        </w:rPr>
      </w:pPr>
      <w:r>
        <w:rPr>
          <w:rFonts w:cs="Calibri"/>
          <w:b/>
        </w:rPr>
        <w:t>Bilješka br.</w:t>
      </w:r>
      <w:r w:rsidR="008B1B15">
        <w:rPr>
          <w:rFonts w:cs="Calibri"/>
          <w:b/>
        </w:rPr>
        <w:t>62</w:t>
      </w:r>
      <w:r>
        <w:rPr>
          <w:rFonts w:cs="Calibri"/>
          <w:b/>
        </w:rPr>
        <w:t xml:space="preserve">   – AOP 350 Licence</w:t>
      </w:r>
    </w:p>
    <w:p w:rsidR="0079684E" w:rsidRDefault="0079684E" w:rsidP="0079684E">
      <w:pPr>
        <w:autoSpaceDE w:val="0"/>
        <w:spacing w:after="0"/>
        <w:jc w:val="both"/>
        <w:rPr>
          <w:rFonts w:cs="Calibri"/>
          <w:b/>
        </w:rPr>
      </w:pPr>
    </w:p>
    <w:p w:rsidR="0079684E" w:rsidRDefault="0079684E" w:rsidP="0079684E">
      <w:pPr>
        <w:autoSpaceDE w:val="0"/>
        <w:spacing w:after="0"/>
        <w:jc w:val="both"/>
        <w:rPr>
          <w:rFonts w:cs="Calibri"/>
        </w:rPr>
      </w:pPr>
      <w:r>
        <w:rPr>
          <w:rFonts w:cs="Calibri"/>
        </w:rPr>
        <w:t xml:space="preserve">Rashodi za licence iznose 6.865.359 kn i za 30% su veći u odnosu na 2019. godinu.  Tu su obuhvaćene nabave novih i produženje postojećih licenci za korištenje softverskih proizvoda. </w:t>
      </w:r>
    </w:p>
    <w:p w:rsidR="002C7A08" w:rsidRDefault="002C7A08" w:rsidP="0079684E">
      <w:pPr>
        <w:autoSpaceDE w:val="0"/>
        <w:spacing w:after="0"/>
        <w:jc w:val="both"/>
        <w:rPr>
          <w:rFonts w:cs="Calibri"/>
        </w:rPr>
      </w:pPr>
    </w:p>
    <w:p w:rsidR="0079684E" w:rsidRDefault="0079684E" w:rsidP="0079684E">
      <w:pPr>
        <w:autoSpaceDE w:val="0"/>
        <w:spacing w:after="0"/>
        <w:jc w:val="both"/>
        <w:rPr>
          <w:rFonts w:cs="Calibri"/>
          <w:b/>
        </w:rPr>
      </w:pPr>
    </w:p>
    <w:p w:rsidR="0079684E" w:rsidRDefault="0079684E" w:rsidP="0079684E">
      <w:pPr>
        <w:autoSpaceDE w:val="0"/>
        <w:spacing w:after="0"/>
        <w:jc w:val="both"/>
      </w:pPr>
      <w:r>
        <w:rPr>
          <w:rFonts w:cs="Calibri"/>
          <w:b/>
        </w:rPr>
        <w:lastRenderedPageBreak/>
        <w:t xml:space="preserve">Bilješka br. </w:t>
      </w:r>
      <w:r w:rsidR="008B1B15">
        <w:rPr>
          <w:rFonts w:cs="Calibri"/>
          <w:b/>
        </w:rPr>
        <w:t>63</w:t>
      </w:r>
      <w:r>
        <w:rPr>
          <w:rFonts w:cs="Calibri"/>
        </w:rPr>
        <w:t xml:space="preserve"> – </w:t>
      </w:r>
      <w:r>
        <w:rPr>
          <w:rFonts w:cs="Calibri"/>
          <w:b/>
        </w:rPr>
        <w:t>AOP 357 Poslovni objekti</w:t>
      </w:r>
    </w:p>
    <w:p w:rsidR="0079684E" w:rsidRDefault="0079684E" w:rsidP="0079684E">
      <w:pPr>
        <w:autoSpaceDE w:val="0"/>
        <w:spacing w:after="0"/>
        <w:jc w:val="both"/>
        <w:rPr>
          <w:rFonts w:cs="Calibri"/>
        </w:rPr>
      </w:pPr>
    </w:p>
    <w:p w:rsidR="0079684E" w:rsidRDefault="0079684E" w:rsidP="0079684E">
      <w:pPr>
        <w:spacing w:after="0"/>
        <w:jc w:val="both"/>
        <w:rPr>
          <w:rFonts w:cs="Calibri"/>
        </w:rPr>
      </w:pPr>
      <w:r>
        <w:rPr>
          <w:rFonts w:cs="Calibri"/>
        </w:rPr>
        <w:t xml:space="preserve">Ulaganje u poslovne objekte veće je za 14% u odnosu na 2019. godinu i iznosi 245.771.308 kn. Iznos od  42.235.227 kn financiran je iz projekta </w:t>
      </w:r>
      <w:proofErr w:type="spellStart"/>
      <w:r>
        <w:rPr>
          <w:rFonts w:cs="Calibri"/>
        </w:rPr>
        <w:t>ZagEE</w:t>
      </w:r>
      <w:proofErr w:type="spellEnd"/>
      <w:r>
        <w:rPr>
          <w:rFonts w:cs="Calibri"/>
        </w:rPr>
        <w:t xml:space="preserve">.  Projektom </w:t>
      </w:r>
      <w:proofErr w:type="spellStart"/>
      <w:r>
        <w:rPr>
          <w:rFonts w:cs="Calibri"/>
        </w:rPr>
        <w:t>ZagEE</w:t>
      </w:r>
      <w:proofErr w:type="spellEnd"/>
      <w:r>
        <w:rPr>
          <w:rFonts w:cs="Calibri"/>
        </w:rPr>
        <w:t xml:space="preserve"> financira se energetska obnova zgrada, a projekt provodi GU za gospodarstvo, energetiku i zaštitu okoliša.</w:t>
      </w:r>
    </w:p>
    <w:p w:rsidR="0079684E" w:rsidRDefault="0079684E" w:rsidP="0079684E">
      <w:pPr>
        <w:spacing w:after="0"/>
        <w:jc w:val="both"/>
        <w:rPr>
          <w:rFonts w:cs="Calibri"/>
        </w:rPr>
      </w:pPr>
      <w:r>
        <w:rPr>
          <w:rFonts w:cs="Calibri"/>
        </w:rPr>
        <w:t xml:space="preserve"> U 2020. godini uloženo je u:</w:t>
      </w:r>
    </w:p>
    <w:p w:rsidR="0079684E" w:rsidRDefault="0079684E" w:rsidP="0079684E">
      <w:pPr>
        <w:pStyle w:val="ListParagraph"/>
        <w:numPr>
          <w:ilvl w:val="0"/>
          <w:numId w:val="20"/>
        </w:numPr>
        <w:suppressAutoHyphens/>
        <w:autoSpaceDE w:val="0"/>
        <w:autoSpaceDN w:val="0"/>
        <w:spacing w:after="0" w:line="240" w:lineRule="auto"/>
        <w:contextualSpacing w:val="0"/>
        <w:jc w:val="both"/>
        <w:textAlignment w:val="baseline"/>
        <w:rPr>
          <w:rFonts w:cs="Calibri"/>
        </w:rPr>
      </w:pPr>
      <w:r>
        <w:rPr>
          <w:rFonts w:cs="Calibri"/>
        </w:rPr>
        <w:t>Uredske i ostale poslovne objekte 25.924.540 kn,</w:t>
      </w:r>
    </w:p>
    <w:p w:rsidR="0079684E" w:rsidRDefault="0079684E" w:rsidP="0079684E">
      <w:pPr>
        <w:pStyle w:val="ListParagraph"/>
        <w:numPr>
          <w:ilvl w:val="0"/>
          <w:numId w:val="20"/>
        </w:numPr>
        <w:suppressAutoHyphens/>
        <w:autoSpaceDE w:val="0"/>
        <w:autoSpaceDN w:val="0"/>
        <w:spacing w:after="0" w:line="240" w:lineRule="auto"/>
        <w:contextualSpacing w:val="0"/>
        <w:jc w:val="both"/>
        <w:textAlignment w:val="baseline"/>
        <w:rPr>
          <w:rFonts w:cs="Calibri"/>
        </w:rPr>
      </w:pPr>
      <w:r>
        <w:rPr>
          <w:rFonts w:cs="Calibri"/>
        </w:rPr>
        <w:t>Bolnice i ostali zdravstveni objekti, umirovljenički domovi u njih je ukupno uloženo 28.291.839 kn, a ulaganje je izvršeno u:</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KB Sveti Duh 348.478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Zdravstvenu stanicu Novi </w:t>
      </w:r>
      <w:proofErr w:type="spellStart"/>
      <w:r>
        <w:rPr>
          <w:rFonts w:cs="Calibri"/>
        </w:rPr>
        <w:t>Jelkovec</w:t>
      </w:r>
      <w:proofErr w:type="spellEnd"/>
      <w:r>
        <w:rPr>
          <w:rFonts w:cs="Calibri"/>
        </w:rPr>
        <w:t xml:space="preserve"> 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Ambulanta </w:t>
      </w:r>
      <w:proofErr w:type="spellStart"/>
      <w:r>
        <w:rPr>
          <w:rFonts w:cs="Calibri"/>
        </w:rPr>
        <w:t>Špansko</w:t>
      </w:r>
      <w:proofErr w:type="spellEnd"/>
      <w:r>
        <w:rPr>
          <w:rFonts w:cs="Calibri"/>
        </w:rPr>
        <w:t xml:space="preserve"> 116.000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PB Vrapče 1.145.851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Ambulanta Lučko 7.189.543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Ambulanta </w:t>
      </w:r>
      <w:proofErr w:type="spellStart"/>
      <w:r>
        <w:rPr>
          <w:rFonts w:cs="Calibri"/>
        </w:rPr>
        <w:t>Ljubijska</w:t>
      </w:r>
      <w:proofErr w:type="spellEnd"/>
      <w:r>
        <w:rPr>
          <w:rFonts w:cs="Calibri"/>
        </w:rPr>
        <w:t xml:space="preserve"> 1.602.469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Dom za starije i nemoćne Trešnjevka 2.288.081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Ambulanta Kruge 5.809.281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Bolnica Jankomir 4.826.215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Ambulanta Žitnjak 3.605.638 kn i </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Dom za stare i nemoćne Maksimir 48.250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Ambulanta Cvjetno naselje 789.508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Ambulanta Gračani 275.400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Ambulanta Peščenica 243.375 kn.</w:t>
      </w:r>
    </w:p>
    <w:p w:rsidR="0079684E" w:rsidRDefault="0079684E" w:rsidP="0079684E">
      <w:pPr>
        <w:pStyle w:val="ListParagraph"/>
        <w:numPr>
          <w:ilvl w:val="0"/>
          <w:numId w:val="20"/>
        </w:numPr>
        <w:suppressAutoHyphens/>
        <w:autoSpaceDE w:val="0"/>
        <w:autoSpaceDN w:val="0"/>
        <w:spacing w:after="0" w:line="240" w:lineRule="auto"/>
        <w:contextualSpacing w:val="0"/>
        <w:jc w:val="both"/>
        <w:textAlignment w:val="baseline"/>
        <w:rPr>
          <w:rFonts w:cs="Calibri"/>
        </w:rPr>
      </w:pPr>
      <w:r>
        <w:rPr>
          <w:rFonts w:cs="Calibri"/>
        </w:rPr>
        <w:t>Zgrade znanstvenih i obrazovnih institucija – u objekte DV uloženo je 82.372.734 kn, a u objekte osnovnih i srednjih škola 84.068.968 kn. Uloženo je u:</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DV </w:t>
      </w:r>
      <w:proofErr w:type="spellStart"/>
      <w:r>
        <w:rPr>
          <w:rFonts w:cs="Calibri"/>
        </w:rPr>
        <w:t>Gajnice</w:t>
      </w:r>
      <w:proofErr w:type="spellEnd"/>
      <w:r>
        <w:rPr>
          <w:rFonts w:cs="Calibri"/>
        </w:rPr>
        <w:t xml:space="preserve"> 192.371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DV Sesvetski </w:t>
      </w:r>
      <w:proofErr w:type="spellStart"/>
      <w:r>
        <w:rPr>
          <w:rFonts w:cs="Calibri"/>
        </w:rPr>
        <w:t>kraljevec</w:t>
      </w:r>
      <w:proofErr w:type="spellEnd"/>
      <w:r>
        <w:rPr>
          <w:rFonts w:cs="Calibri"/>
        </w:rPr>
        <w:t xml:space="preserve"> 125.000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Brezovica 110.000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Različak 418.715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Mali princ 206.250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Zvončić 12.500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Čučerje 7.593.490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Središće 33.879.271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DV </w:t>
      </w:r>
      <w:proofErr w:type="spellStart"/>
      <w:r>
        <w:rPr>
          <w:rFonts w:cs="Calibri"/>
        </w:rPr>
        <w:t>Vrbani</w:t>
      </w:r>
      <w:proofErr w:type="spellEnd"/>
      <w:r>
        <w:rPr>
          <w:rFonts w:cs="Calibri"/>
        </w:rPr>
        <w:t xml:space="preserve"> III 33.287.830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Malešnica 136.125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Sveta Klara 50.000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DV </w:t>
      </w:r>
      <w:proofErr w:type="spellStart"/>
      <w:r>
        <w:rPr>
          <w:rFonts w:cs="Calibri"/>
        </w:rPr>
        <w:t>Zapruđe</w:t>
      </w:r>
      <w:proofErr w:type="spellEnd"/>
      <w:r>
        <w:rPr>
          <w:rFonts w:cs="Calibri"/>
        </w:rPr>
        <w:t xml:space="preserve"> 2.775.228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Zrno 1.220.613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Šumska jagoda 450.000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Petar Pan 218.000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Vladimir Nazor 206.250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DV </w:t>
      </w:r>
      <w:proofErr w:type="spellStart"/>
      <w:r>
        <w:rPr>
          <w:rFonts w:cs="Calibri"/>
        </w:rPr>
        <w:t>Botinec</w:t>
      </w:r>
      <w:proofErr w:type="spellEnd"/>
      <w:r>
        <w:rPr>
          <w:rFonts w:cs="Calibri"/>
        </w:rPr>
        <w:t xml:space="preserve"> 1.460.035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DV Hrvatski </w:t>
      </w:r>
      <w:proofErr w:type="spellStart"/>
      <w:r>
        <w:rPr>
          <w:rFonts w:cs="Calibri"/>
        </w:rPr>
        <w:t>Leskovec</w:t>
      </w:r>
      <w:proofErr w:type="spellEnd"/>
      <w:r>
        <w:rPr>
          <w:rFonts w:cs="Calibri"/>
        </w:rPr>
        <w:t xml:space="preserve"> 7.931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Siget 21.625 kn i</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DV Vrapče 1.500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Ivanja Reka 21.426.870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Središće 13.727.133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Centar za autizam 88.250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Poštansko telekomunikacijska škola 640.180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OŠ </w:t>
      </w:r>
      <w:proofErr w:type="spellStart"/>
      <w:r>
        <w:rPr>
          <w:rFonts w:cs="Calibri"/>
        </w:rPr>
        <w:t>Grigor</w:t>
      </w:r>
      <w:proofErr w:type="spellEnd"/>
      <w:r>
        <w:rPr>
          <w:rFonts w:cs="Calibri"/>
        </w:rPr>
        <w:t xml:space="preserve"> Vitez 1.109.679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Mladost 843.336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lastRenderedPageBreak/>
        <w:t>OŠ Horvati 119.700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XVIII gimnazija 243.750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I. Mažuranić 24.375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Elektrotehnička škola 243.750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OŠ D. </w:t>
      </w:r>
      <w:proofErr w:type="spellStart"/>
      <w:r>
        <w:rPr>
          <w:rFonts w:cs="Calibri"/>
        </w:rPr>
        <w:t>Domjanić</w:t>
      </w:r>
      <w:proofErr w:type="spellEnd"/>
      <w:r>
        <w:rPr>
          <w:rFonts w:cs="Calibri"/>
        </w:rPr>
        <w:t xml:space="preserve"> 23.750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Trgovačka škola 2.721.996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Brezovica 97.250 kn,</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Škola za cestovni promet 97.500 kn</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OŠ Rudeš 49.450 kn,</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OŠ F. K. Frankopan 222.224 kn,</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OŠ August Cesarec 127.725 kn,</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 xml:space="preserve">OŠ </w:t>
      </w:r>
      <w:proofErr w:type="spellStart"/>
      <w:r>
        <w:rPr>
          <w:rFonts w:cs="Calibri"/>
        </w:rPr>
        <w:t>Voltino</w:t>
      </w:r>
      <w:proofErr w:type="spellEnd"/>
      <w:r>
        <w:rPr>
          <w:rFonts w:cs="Calibri"/>
        </w:rPr>
        <w:t xml:space="preserve"> 243.750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braće Radić 243.750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III Ekonomska škola 237.500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kralj Tomislav 243.750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OŠ I. </w:t>
      </w:r>
      <w:proofErr w:type="spellStart"/>
      <w:r>
        <w:rPr>
          <w:rFonts w:cs="Calibri"/>
        </w:rPr>
        <w:t>Cankar</w:t>
      </w:r>
      <w:proofErr w:type="spellEnd"/>
      <w:r>
        <w:rPr>
          <w:rFonts w:cs="Calibri"/>
        </w:rPr>
        <w:t xml:space="preserve"> 237.375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N. Tesla 3.461.575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Prehrambeno tehnološka škola 11.952.360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bana Josipa Jelačića 223.750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J. Klović 21.625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Škola za medicinske sestre Mlinarska 32.625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OŠ M. </w:t>
      </w:r>
      <w:proofErr w:type="spellStart"/>
      <w:r>
        <w:rPr>
          <w:rFonts w:cs="Calibri"/>
        </w:rPr>
        <w:t>Laginje</w:t>
      </w:r>
      <w:proofErr w:type="spellEnd"/>
      <w:r>
        <w:rPr>
          <w:rFonts w:cs="Calibri"/>
        </w:rPr>
        <w:t xml:space="preserve"> 243.750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I. Gundulića 231.250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V. Nazor 243.750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Lučko 8.423.908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Sesvete 721.820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T, Ujević 1.857.600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OŠ </w:t>
      </w:r>
      <w:proofErr w:type="spellStart"/>
      <w:r>
        <w:rPr>
          <w:rFonts w:cs="Calibri"/>
        </w:rPr>
        <w:t>Vukomerec</w:t>
      </w:r>
      <w:proofErr w:type="spellEnd"/>
      <w:r>
        <w:rPr>
          <w:rFonts w:cs="Calibri"/>
        </w:rPr>
        <w:t xml:space="preserve"> 2.368.959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OŠ D. Cesarić 2.349.760 kn.</w:t>
      </w:r>
    </w:p>
    <w:p w:rsidR="0079684E" w:rsidRDefault="0079684E" w:rsidP="0079684E">
      <w:pPr>
        <w:pStyle w:val="ListParagraph"/>
        <w:numPr>
          <w:ilvl w:val="0"/>
          <w:numId w:val="20"/>
        </w:numPr>
        <w:suppressAutoHyphens/>
        <w:autoSpaceDE w:val="0"/>
        <w:autoSpaceDN w:val="0"/>
        <w:spacing w:after="0" w:line="240" w:lineRule="auto"/>
        <w:contextualSpacing w:val="0"/>
        <w:jc w:val="both"/>
        <w:textAlignment w:val="baseline"/>
        <w:rPr>
          <w:rFonts w:cs="Calibri"/>
        </w:rPr>
      </w:pPr>
      <w:r>
        <w:rPr>
          <w:rFonts w:cs="Calibri"/>
        </w:rPr>
        <w:t>Zgrade kulturnih institucija  u njih je uloženo 11.323.628 kn,</w:t>
      </w:r>
    </w:p>
    <w:p w:rsidR="0079684E" w:rsidRDefault="0079684E" w:rsidP="0079684E">
      <w:pPr>
        <w:pStyle w:val="ListParagraph"/>
        <w:numPr>
          <w:ilvl w:val="0"/>
          <w:numId w:val="20"/>
        </w:numPr>
        <w:suppressAutoHyphens/>
        <w:autoSpaceDE w:val="0"/>
        <w:autoSpaceDN w:val="0"/>
        <w:spacing w:after="0" w:line="240" w:lineRule="auto"/>
        <w:contextualSpacing w:val="0"/>
        <w:jc w:val="both"/>
        <w:textAlignment w:val="baseline"/>
        <w:rPr>
          <w:rFonts w:cs="Calibri"/>
        </w:rPr>
      </w:pPr>
      <w:r>
        <w:rPr>
          <w:rFonts w:cs="Calibri"/>
        </w:rPr>
        <w:t>Sportske dvorane i rekreacijski objekti, uloženo je 13.329.586 kn i to:</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Stadion Maksimir 1.110.023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Pluto, LJ. Posavskog 1.530.678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Bazen Dubrava 246.050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Sportska dvorana </w:t>
      </w:r>
      <w:proofErr w:type="spellStart"/>
      <w:r>
        <w:rPr>
          <w:rFonts w:cs="Calibri"/>
        </w:rPr>
        <w:t>Veprinečka</w:t>
      </w:r>
      <w:proofErr w:type="spellEnd"/>
      <w:r>
        <w:rPr>
          <w:rFonts w:cs="Calibri"/>
        </w:rPr>
        <w:t xml:space="preserve"> 149.400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Park </w:t>
      </w:r>
      <w:proofErr w:type="spellStart"/>
      <w:r>
        <w:rPr>
          <w:rFonts w:cs="Calibri"/>
        </w:rPr>
        <w:t>Bundek</w:t>
      </w:r>
      <w:proofErr w:type="spellEnd"/>
      <w:r>
        <w:rPr>
          <w:rFonts w:cs="Calibri"/>
        </w:rPr>
        <w:t xml:space="preserve"> 412.500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 xml:space="preserve">Bazen </w:t>
      </w:r>
      <w:proofErr w:type="spellStart"/>
      <w:r>
        <w:rPr>
          <w:rFonts w:cs="Calibri"/>
        </w:rPr>
        <w:t>Špansko</w:t>
      </w:r>
      <w:proofErr w:type="spellEnd"/>
      <w:r>
        <w:rPr>
          <w:rFonts w:cs="Calibri"/>
        </w:rPr>
        <w:t xml:space="preserve"> – Oranice 706.125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Zimsko plivalište Mladost 8.997.310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NK Gavran 25.625 kn i</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SRC Rudeš 151.875 kn.</w:t>
      </w:r>
    </w:p>
    <w:p w:rsidR="0079684E" w:rsidRDefault="0079684E" w:rsidP="0079684E">
      <w:pPr>
        <w:pStyle w:val="ListParagraph"/>
        <w:numPr>
          <w:ilvl w:val="0"/>
          <w:numId w:val="20"/>
        </w:numPr>
        <w:suppressAutoHyphens/>
        <w:autoSpaceDE w:val="0"/>
        <w:autoSpaceDN w:val="0"/>
        <w:spacing w:after="0" w:line="240" w:lineRule="auto"/>
        <w:contextualSpacing w:val="0"/>
        <w:jc w:val="both"/>
        <w:textAlignment w:val="baseline"/>
        <w:rPr>
          <w:rFonts w:cs="Calibri"/>
        </w:rPr>
      </w:pPr>
      <w:r>
        <w:rPr>
          <w:rFonts w:cs="Calibri"/>
        </w:rPr>
        <w:t>Ostali poslovni građevinski objekti 460.013</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Centar za nadzor prometa 248.250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Krematorij Remetska cesta 118.375 kn i</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Mirogoj 93.388 kn.</w:t>
      </w:r>
    </w:p>
    <w:p w:rsidR="0079684E" w:rsidRDefault="0079684E" w:rsidP="0079684E">
      <w:pPr>
        <w:autoSpaceDE w:val="0"/>
        <w:spacing w:after="0"/>
        <w:jc w:val="both"/>
        <w:rPr>
          <w:rFonts w:cs="Calibri"/>
          <w:b/>
        </w:rPr>
      </w:pPr>
    </w:p>
    <w:p w:rsidR="00793852" w:rsidRDefault="00793852" w:rsidP="0079684E">
      <w:pPr>
        <w:autoSpaceDE w:val="0"/>
        <w:spacing w:after="0"/>
        <w:jc w:val="both"/>
        <w:rPr>
          <w:rFonts w:cs="Calibri"/>
          <w:b/>
        </w:rPr>
      </w:pPr>
    </w:p>
    <w:p w:rsidR="0079684E" w:rsidRDefault="008B1B15" w:rsidP="0079684E">
      <w:pPr>
        <w:autoSpaceDE w:val="0"/>
        <w:spacing w:after="0"/>
        <w:jc w:val="both"/>
      </w:pPr>
      <w:r>
        <w:rPr>
          <w:rFonts w:cs="Calibri"/>
          <w:b/>
        </w:rPr>
        <w:t>Bilješka br. 64</w:t>
      </w:r>
      <w:r w:rsidR="0079684E">
        <w:rPr>
          <w:rFonts w:cs="Calibri"/>
        </w:rPr>
        <w:t xml:space="preserve"> – </w:t>
      </w:r>
      <w:r w:rsidR="0079684E">
        <w:rPr>
          <w:rFonts w:cs="Calibri"/>
          <w:b/>
        </w:rPr>
        <w:t>AOP 358 Ceste, željeznice i ostali prometni objekti</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Ulaganje u ceste, željeznice i ostale prometne objekte iznosi 108.453.053 kn i manje je za 56% u odnosu na prethodnu godinu.</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Ceste tehnička dokumentacija 2.091.136 kn,</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lastRenderedPageBreak/>
        <w:t>Rotor Remetinec 62.291.594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Ceste i ostali prometni objekti 44.070.323 kn.</w:t>
      </w:r>
    </w:p>
    <w:p w:rsidR="0079684E" w:rsidRDefault="0079684E" w:rsidP="0079684E">
      <w:pPr>
        <w:autoSpaceDE w:val="0"/>
        <w:spacing w:after="0"/>
        <w:jc w:val="both"/>
        <w:rPr>
          <w:rFonts w:cs="Calibri"/>
          <w:b/>
        </w:rPr>
      </w:pPr>
    </w:p>
    <w:p w:rsidR="00793852" w:rsidRDefault="00793852" w:rsidP="0079684E">
      <w:pPr>
        <w:autoSpaceDE w:val="0"/>
        <w:spacing w:after="0"/>
        <w:jc w:val="both"/>
        <w:rPr>
          <w:rFonts w:cs="Calibri"/>
          <w:b/>
        </w:rPr>
      </w:pPr>
    </w:p>
    <w:p w:rsidR="0079684E" w:rsidRDefault="0079684E" w:rsidP="0079684E">
      <w:pPr>
        <w:autoSpaceDE w:val="0"/>
        <w:spacing w:after="0"/>
        <w:jc w:val="both"/>
      </w:pPr>
      <w:r>
        <w:rPr>
          <w:rFonts w:cs="Calibri"/>
          <w:b/>
        </w:rPr>
        <w:t>Bilješka br. 6</w:t>
      </w:r>
      <w:r w:rsidR="008B1B15">
        <w:rPr>
          <w:rFonts w:cs="Calibri"/>
          <w:b/>
        </w:rPr>
        <w:t>5</w:t>
      </w:r>
      <w:r>
        <w:rPr>
          <w:rFonts w:cs="Calibri"/>
        </w:rPr>
        <w:t xml:space="preserve"> </w:t>
      </w:r>
      <w:r>
        <w:rPr>
          <w:rFonts w:cs="Calibri"/>
          <w:b/>
        </w:rPr>
        <w:t>– AOP 359 Ostali građevinski objekti</w:t>
      </w:r>
    </w:p>
    <w:p w:rsidR="0079684E" w:rsidRDefault="0079684E" w:rsidP="0079684E">
      <w:pPr>
        <w:autoSpaceDE w:val="0"/>
        <w:spacing w:after="0"/>
        <w:jc w:val="both"/>
        <w:rPr>
          <w:rFonts w:cs="Calibri"/>
          <w:b/>
        </w:rPr>
      </w:pPr>
    </w:p>
    <w:p w:rsidR="0079684E" w:rsidRDefault="0079684E" w:rsidP="0079684E">
      <w:pPr>
        <w:autoSpaceDE w:val="0"/>
        <w:spacing w:after="0"/>
        <w:jc w:val="both"/>
        <w:rPr>
          <w:rFonts w:cs="Calibri"/>
        </w:rPr>
      </w:pPr>
      <w:r>
        <w:rPr>
          <w:rFonts w:cs="Calibri"/>
        </w:rPr>
        <w:t>Ulaganje u ostale građevinske objekte manje je za 59.266.285 kn u odnosu na prethodnu godinu i iznosi 217.312.366 kn. Ova ulaganja obuhvaćaju:</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Ulaganja u plinovod, vodovod i kanalizaciju 7.882.223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Sportske i rekreacijske terene 14.737.028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Spomenike 205.215 kn,</w:t>
      </w:r>
    </w:p>
    <w:p w:rsidR="0079684E" w:rsidRDefault="0079684E" w:rsidP="0079684E">
      <w:pPr>
        <w:pStyle w:val="ListParagraph"/>
        <w:numPr>
          <w:ilvl w:val="0"/>
          <w:numId w:val="19"/>
        </w:numPr>
        <w:suppressAutoHyphens/>
        <w:autoSpaceDE w:val="0"/>
        <w:autoSpaceDN w:val="0"/>
        <w:spacing w:after="0" w:line="240" w:lineRule="auto"/>
        <w:contextualSpacing w:val="0"/>
        <w:jc w:val="both"/>
        <w:textAlignment w:val="baseline"/>
        <w:rPr>
          <w:rFonts w:cs="Calibri"/>
        </w:rPr>
      </w:pPr>
      <w:r>
        <w:rPr>
          <w:rFonts w:cs="Calibri"/>
        </w:rPr>
        <w:t>Ulaganje u javnu rasvjetu 27.755.427 kn,</w:t>
      </w:r>
    </w:p>
    <w:p w:rsidR="0079684E" w:rsidRDefault="0079684E" w:rsidP="0079684E">
      <w:pPr>
        <w:pStyle w:val="ListParagraph"/>
        <w:numPr>
          <w:ilvl w:val="0"/>
          <w:numId w:val="19"/>
        </w:numPr>
        <w:suppressAutoHyphens/>
        <w:autoSpaceDE w:val="0"/>
        <w:autoSpaceDN w:val="0"/>
        <w:spacing w:after="384" w:line="240" w:lineRule="auto"/>
        <w:contextualSpacing w:val="0"/>
        <w:jc w:val="both"/>
        <w:textAlignment w:val="baseline"/>
        <w:rPr>
          <w:rFonts w:cs="Calibri"/>
        </w:rPr>
      </w:pPr>
      <w:r>
        <w:rPr>
          <w:rFonts w:cs="Calibri"/>
        </w:rPr>
        <w:t xml:space="preserve">Ostale nespomenute građevinske objekte 166.732.473 kn. Na ovoj skupini računa evidentirani su rashodi za projektnu dokumentaciju za rekonstrukciju cesta, kružnih tokova, nogostupa i parkirališta, nabava </w:t>
      </w:r>
      <w:proofErr w:type="spellStart"/>
      <w:r>
        <w:rPr>
          <w:rFonts w:cs="Calibri"/>
        </w:rPr>
        <w:t>signalizatora</w:t>
      </w:r>
      <w:proofErr w:type="spellEnd"/>
      <w:r>
        <w:rPr>
          <w:rFonts w:cs="Calibri"/>
        </w:rPr>
        <w:t xml:space="preserve"> za slijepe osobe, sanacije klizišta, </w:t>
      </w:r>
      <w:proofErr w:type="spellStart"/>
      <w:r>
        <w:rPr>
          <w:rFonts w:cs="Calibri"/>
        </w:rPr>
        <w:t>semaforizacija</w:t>
      </w:r>
      <w:proofErr w:type="spellEnd"/>
      <w:r>
        <w:rPr>
          <w:rFonts w:cs="Calibri"/>
        </w:rPr>
        <w:t xml:space="preserve"> raskrižja i ostalo.</w:t>
      </w:r>
    </w:p>
    <w:p w:rsidR="0079684E" w:rsidRDefault="0079684E" w:rsidP="0079684E">
      <w:pPr>
        <w:autoSpaceDE w:val="0"/>
        <w:spacing w:after="384"/>
        <w:jc w:val="both"/>
        <w:rPr>
          <w:rFonts w:cs="Calibri"/>
          <w:b/>
        </w:rPr>
      </w:pPr>
      <w:r>
        <w:rPr>
          <w:rFonts w:cs="Calibri"/>
          <w:b/>
        </w:rPr>
        <w:t xml:space="preserve">Bilješka br.  </w:t>
      </w:r>
      <w:r w:rsidR="008B1B15">
        <w:rPr>
          <w:rFonts w:cs="Calibri"/>
          <w:b/>
        </w:rPr>
        <w:t>66</w:t>
      </w:r>
      <w:r>
        <w:rPr>
          <w:rFonts w:cs="Calibri"/>
          <w:b/>
        </w:rPr>
        <w:t xml:space="preserve"> – AOP 361 Uredska oprema i namještaj </w:t>
      </w:r>
    </w:p>
    <w:p w:rsidR="0079684E" w:rsidRDefault="0079684E" w:rsidP="0079684E">
      <w:pPr>
        <w:autoSpaceDE w:val="0"/>
        <w:spacing w:after="0"/>
        <w:jc w:val="both"/>
        <w:rPr>
          <w:rFonts w:cs="Calibri"/>
        </w:rPr>
      </w:pPr>
      <w:r>
        <w:rPr>
          <w:rFonts w:cs="Calibri"/>
        </w:rPr>
        <w:t>Rashodi za uredsku opremu i namještaj iznose 21.590.722 kn i veći su za 44% u odnosu na prethodnu godinu.</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Računala i računalna oprema 20.433.938 kn,</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Uredski namještaj 807.125 kn,</w:t>
      </w:r>
    </w:p>
    <w:p w:rsidR="0079684E" w:rsidRDefault="0079684E" w:rsidP="0079684E">
      <w:pPr>
        <w:pStyle w:val="ListParagraph"/>
        <w:numPr>
          <w:ilvl w:val="0"/>
          <w:numId w:val="19"/>
        </w:numPr>
        <w:suppressAutoHyphens/>
        <w:autoSpaceDE w:val="0"/>
        <w:autoSpaceDN w:val="0"/>
        <w:spacing w:after="0" w:line="240" w:lineRule="auto"/>
        <w:ind w:left="714" w:hanging="357"/>
        <w:contextualSpacing w:val="0"/>
        <w:jc w:val="both"/>
        <w:textAlignment w:val="baseline"/>
        <w:rPr>
          <w:rFonts w:cs="Calibri"/>
        </w:rPr>
      </w:pPr>
      <w:r>
        <w:rPr>
          <w:rFonts w:cs="Calibri"/>
        </w:rPr>
        <w:t>Ostala uredska oprema 349.658 kn,</w:t>
      </w:r>
    </w:p>
    <w:p w:rsidR="0079684E" w:rsidRDefault="0079684E" w:rsidP="0079684E">
      <w:pPr>
        <w:autoSpaceDE w:val="0"/>
        <w:spacing w:after="384"/>
        <w:jc w:val="both"/>
        <w:rPr>
          <w:rFonts w:cs="Calibri"/>
        </w:rPr>
      </w:pPr>
    </w:p>
    <w:p w:rsidR="0079684E" w:rsidRDefault="0079684E" w:rsidP="0079684E">
      <w:pPr>
        <w:autoSpaceDE w:val="0"/>
        <w:spacing w:after="0"/>
        <w:jc w:val="both"/>
      </w:pPr>
      <w:r>
        <w:rPr>
          <w:rFonts w:cs="Calibri"/>
          <w:b/>
        </w:rPr>
        <w:t>Bilješka br. 6</w:t>
      </w:r>
      <w:r w:rsidR="008B1B15">
        <w:rPr>
          <w:rFonts w:cs="Calibri"/>
          <w:b/>
        </w:rPr>
        <w:t>7</w:t>
      </w:r>
      <w:r>
        <w:rPr>
          <w:rFonts w:cs="Calibri"/>
        </w:rPr>
        <w:t xml:space="preserve"> – </w:t>
      </w:r>
      <w:r>
        <w:rPr>
          <w:rFonts w:cs="Calibri"/>
          <w:b/>
        </w:rPr>
        <w:t>AOP</w:t>
      </w:r>
      <w:r>
        <w:rPr>
          <w:rFonts w:cs="Calibri"/>
        </w:rPr>
        <w:t xml:space="preserve"> </w:t>
      </w:r>
      <w:r>
        <w:rPr>
          <w:rFonts w:cs="Calibri"/>
          <w:b/>
        </w:rPr>
        <w:t>367 Uređaji strojevi i oprema za ostale namjene</w:t>
      </w:r>
    </w:p>
    <w:p w:rsidR="0079684E" w:rsidRDefault="0079684E" w:rsidP="0079684E">
      <w:pPr>
        <w:autoSpaceDE w:val="0"/>
        <w:spacing w:after="0"/>
        <w:jc w:val="both"/>
        <w:rPr>
          <w:rFonts w:cs="Calibri"/>
        </w:rPr>
      </w:pPr>
    </w:p>
    <w:p w:rsidR="0079684E" w:rsidRDefault="0079684E" w:rsidP="0079684E">
      <w:pPr>
        <w:spacing w:after="0"/>
        <w:jc w:val="both"/>
        <w:rPr>
          <w:rFonts w:cs="Calibri"/>
        </w:rPr>
      </w:pPr>
      <w:r>
        <w:rPr>
          <w:rFonts w:cs="Calibri"/>
        </w:rPr>
        <w:t>Na ovoj stavci ukupno je potrošeno 543.720 kn. Sredstva su utrošena na pametne spremnike za prikupljanje otpada, nabavu kuhinjske opreme i materijal za čišćenje i održavanje objekata.</w:t>
      </w:r>
    </w:p>
    <w:p w:rsidR="0079684E" w:rsidRDefault="0079684E" w:rsidP="0079684E">
      <w:pPr>
        <w:spacing w:after="0"/>
        <w:jc w:val="both"/>
        <w:rPr>
          <w:rFonts w:cs="Calibri"/>
        </w:rPr>
      </w:pPr>
    </w:p>
    <w:p w:rsidR="0079684E" w:rsidRDefault="0079684E" w:rsidP="0079684E">
      <w:pPr>
        <w:spacing w:after="0"/>
        <w:jc w:val="both"/>
        <w:rPr>
          <w:rFonts w:cs="Calibri"/>
        </w:rPr>
      </w:pPr>
    </w:p>
    <w:p w:rsidR="0079684E" w:rsidRDefault="0079684E" w:rsidP="0079684E">
      <w:pPr>
        <w:spacing w:after="0"/>
        <w:jc w:val="both"/>
        <w:rPr>
          <w:rFonts w:cs="Calibri"/>
          <w:b/>
        </w:rPr>
      </w:pPr>
      <w:r>
        <w:rPr>
          <w:rFonts w:cs="Calibri"/>
          <w:b/>
        </w:rPr>
        <w:t>Bilješka br.</w:t>
      </w:r>
      <w:r w:rsidR="008B1B15">
        <w:rPr>
          <w:rFonts w:cs="Calibri"/>
          <w:b/>
        </w:rPr>
        <w:t>68</w:t>
      </w:r>
      <w:r>
        <w:rPr>
          <w:rFonts w:cs="Calibri"/>
          <w:b/>
        </w:rPr>
        <w:t xml:space="preserve">   – AOP 370 Prijevozna sredstva u cestovnom prometu</w:t>
      </w:r>
    </w:p>
    <w:p w:rsidR="0079684E" w:rsidRDefault="0079684E" w:rsidP="0079684E">
      <w:pPr>
        <w:spacing w:after="0"/>
        <w:jc w:val="both"/>
        <w:rPr>
          <w:rFonts w:cs="Calibri"/>
          <w:b/>
        </w:rPr>
      </w:pPr>
    </w:p>
    <w:p w:rsidR="0079684E" w:rsidRDefault="0079684E" w:rsidP="0079684E">
      <w:pPr>
        <w:spacing w:after="0"/>
        <w:jc w:val="both"/>
        <w:rPr>
          <w:rFonts w:cs="Calibri"/>
        </w:rPr>
      </w:pPr>
      <w:r>
        <w:rPr>
          <w:rFonts w:cs="Calibri"/>
        </w:rPr>
        <w:t xml:space="preserve">U 2020. godini nabavljeno je vatrogasno vozilo u vrijednosti 7.485.187 kn i Grad Zagreb je naslijedio </w:t>
      </w:r>
      <w:r w:rsidR="00C40256">
        <w:rPr>
          <w:rFonts w:cs="Calibri"/>
        </w:rPr>
        <w:t>devet</w:t>
      </w:r>
      <w:r>
        <w:rPr>
          <w:rFonts w:cs="Calibri"/>
        </w:rPr>
        <w:t xml:space="preserve"> automobila</w:t>
      </w:r>
      <w:r w:rsidR="00C40256">
        <w:rPr>
          <w:rFonts w:cs="Calibri"/>
        </w:rPr>
        <w:t xml:space="preserve"> i jedan motocikl</w:t>
      </w:r>
      <w:r>
        <w:rPr>
          <w:rFonts w:cs="Calibri"/>
        </w:rPr>
        <w:t xml:space="preserve"> u vrijednosti 37.089kn.</w:t>
      </w:r>
    </w:p>
    <w:p w:rsidR="0079684E" w:rsidRDefault="0079684E" w:rsidP="0079684E">
      <w:pPr>
        <w:spacing w:after="0"/>
        <w:jc w:val="both"/>
        <w:rPr>
          <w:rFonts w:cs="Calibri"/>
          <w:b/>
        </w:rPr>
      </w:pPr>
    </w:p>
    <w:p w:rsidR="0079684E" w:rsidRDefault="0079684E" w:rsidP="0079684E">
      <w:pPr>
        <w:spacing w:after="0"/>
        <w:jc w:val="both"/>
        <w:rPr>
          <w:rFonts w:cs="Calibri"/>
          <w:b/>
        </w:rPr>
      </w:pPr>
    </w:p>
    <w:p w:rsidR="008B1B15" w:rsidRDefault="008B1B15" w:rsidP="0079684E">
      <w:pPr>
        <w:spacing w:after="0"/>
        <w:jc w:val="both"/>
        <w:rPr>
          <w:rFonts w:cs="Calibri"/>
          <w:b/>
        </w:rPr>
      </w:pPr>
    </w:p>
    <w:p w:rsidR="0079684E" w:rsidRDefault="0079684E" w:rsidP="0079684E">
      <w:pPr>
        <w:spacing w:after="0"/>
        <w:jc w:val="both"/>
        <w:rPr>
          <w:rFonts w:cs="Calibri"/>
          <w:b/>
        </w:rPr>
      </w:pPr>
      <w:r>
        <w:rPr>
          <w:rFonts w:cs="Calibri"/>
          <w:b/>
        </w:rPr>
        <w:t>Bilješka br.</w:t>
      </w:r>
      <w:r w:rsidR="008B1B15">
        <w:rPr>
          <w:rFonts w:cs="Calibri"/>
          <w:b/>
        </w:rPr>
        <w:t>69</w:t>
      </w:r>
      <w:r>
        <w:rPr>
          <w:rFonts w:cs="Calibri"/>
          <w:b/>
        </w:rPr>
        <w:t xml:space="preserve">  – AOP 384 Ulaganja u računalne programe</w:t>
      </w:r>
    </w:p>
    <w:p w:rsidR="0079684E" w:rsidRDefault="0079684E" w:rsidP="0079684E">
      <w:pPr>
        <w:spacing w:after="0"/>
        <w:jc w:val="both"/>
        <w:rPr>
          <w:rFonts w:cs="Calibri"/>
          <w:b/>
        </w:rPr>
      </w:pPr>
    </w:p>
    <w:p w:rsidR="0079684E" w:rsidRDefault="0079684E" w:rsidP="0079684E">
      <w:pPr>
        <w:spacing w:after="0"/>
        <w:jc w:val="both"/>
        <w:rPr>
          <w:rFonts w:cs="Calibri"/>
        </w:rPr>
      </w:pPr>
      <w:r>
        <w:rPr>
          <w:rFonts w:cs="Calibri"/>
        </w:rPr>
        <w:t>Ova ulaganja iznose 4.599.825 kn, a radi se o ulaganjima u nadogradnju aplikacija, edukacijama korisnika sustava, proširenju podrške te izradi poslovnog sustava za informatizaciju dječjih vrtića.</w:t>
      </w:r>
    </w:p>
    <w:p w:rsidR="0079684E" w:rsidRDefault="0079684E" w:rsidP="0079684E">
      <w:pPr>
        <w:spacing w:after="0"/>
        <w:jc w:val="both"/>
        <w:rPr>
          <w:rFonts w:cs="Calibri"/>
          <w:b/>
        </w:rPr>
      </w:pPr>
    </w:p>
    <w:p w:rsidR="0079684E" w:rsidRDefault="0079684E" w:rsidP="0079684E">
      <w:pPr>
        <w:jc w:val="both"/>
        <w:rPr>
          <w:rFonts w:cs="Calibri"/>
        </w:rPr>
      </w:pPr>
    </w:p>
    <w:p w:rsidR="004120DD" w:rsidRDefault="004120DD" w:rsidP="0079684E">
      <w:pPr>
        <w:jc w:val="both"/>
        <w:rPr>
          <w:rFonts w:cs="Calibri"/>
        </w:rPr>
      </w:pPr>
    </w:p>
    <w:p w:rsidR="004120DD" w:rsidRDefault="004120DD" w:rsidP="0079684E">
      <w:pPr>
        <w:autoSpaceDE w:val="0"/>
        <w:spacing w:after="0"/>
        <w:jc w:val="both"/>
        <w:rPr>
          <w:rFonts w:cs="Calibri"/>
        </w:rPr>
      </w:pPr>
    </w:p>
    <w:p w:rsidR="0079684E" w:rsidRDefault="0079684E" w:rsidP="0079684E">
      <w:pPr>
        <w:autoSpaceDE w:val="0"/>
        <w:spacing w:after="0"/>
        <w:jc w:val="both"/>
      </w:pPr>
      <w:r>
        <w:rPr>
          <w:rFonts w:cs="Calibri"/>
          <w:b/>
        </w:rPr>
        <w:lastRenderedPageBreak/>
        <w:t xml:space="preserve">Bilješka br. </w:t>
      </w:r>
      <w:r w:rsidR="008B1B15">
        <w:rPr>
          <w:rFonts w:cs="Calibri"/>
          <w:b/>
        </w:rPr>
        <w:t>70</w:t>
      </w:r>
      <w:r>
        <w:rPr>
          <w:rFonts w:cs="Calibri"/>
        </w:rPr>
        <w:t xml:space="preserve"> </w:t>
      </w:r>
      <w:r>
        <w:rPr>
          <w:rFonts w:cs="Calibri"/>
          <w:b/>
        </w:rPr>
        <w:t>– AOP 394 Dodatna ulaganja na građevinskim objektima</w:t>
      </w:r>
    </w:p>
    <w:p w:rsidR="0079684E" w:rsidRDefault="0079684E" w:rsidP="0079684E">
      <w:pPr>
        <w:autoSpaceDE w:val="0"/>
        <w:spacing w:after="0"/>
        <w:jc w:val="both"/>
        <w:rPr>
          <w:rFonts w:cs="Calibri"/>
        </w:rPr>
      </w:pPr>
    </w:p>
    <w:p w:rsidR="0079684E" w:rsidRDefault="0079684E" w:rsidP="0079684E">
      <w:pPr>
        <w:spacing w:after="0"/>
        <w:jc w:val="both"/>
      </w:pPr>
      <w:r>
        <w:rPr>
          <w:rFonts w:cs="Calibri"/>
        </w:rPr>
        <w:t>Na ovoj skupini računa</w:t>
      </w:r>
      <w:r>
        <w:rPr>
          <w:rFonts w:cs="Calibri"/>
          <w:b/>
        </w:rPr>
        <w:t xml:space="preserve"> </w:t>
      </w:r>
      <w:r>
        <w:rPr>
          <w:rFonts w:cs="Calibri"/>
        </w:rPr>
        <w:t>evidentirana su dodatna ulaganja na objektima kulturnih, predškolskih, školskih, sportskih, zdravstvenih ustanova te na objektima socijalne skrbi. Tijekom 2020. utrošeno je 114.283.217 kn. Ulagalo se u slijedeće objekte:</w:t>
      </w:r>
    </w:p>
    <w:p w:rsidR="0079684E" w:rsidRDefault="0079684E" w:rsidP="0079684E">
      <w:pPr>
        <w:pStyle w:val="ListParagraph"/>
        <w:numPr>
          <w:ilvl w:val="0"/>
          <w:numId w:val="19"/>
        </w:numPr>
        <w:suppressAutoHyphens/>
        <w:autoSpaceDN w:val="0"/>
        <w:spacing w:after="0" w:line="240" w:lineRule="auto"/>
        <w:contextualSpacing w:val="0"/>
        <w:jc w:val="both"/>
        <w:textAlignment w:val="baseline"/>
        <w:rPr>
          <w:rFonts w:cs="Calibri"/>
        </w:rPr>
      </w:pPr>
      <w:r>
        <w:rPr>
          <w:rFonts w:cs="Calibri"/>
        </w:rPr>
        <w:t>Dodatna ulaganja u građevinski objekti i spomenike kulture 6.556.573 kn,</w:t>
      </w:r>
    </w:p>
    <w:p w:rsidR="0079684E" w:rsidRDefault="0079684E" w:rsidP="0079684E">
      <w:pPr>
        <w:pStyle w:val="ListParagraph"/>
        <w:numPr>
          <w:ilvl w:val="0"/>
          <w:numId w:val="19"/>
        </w:numPr>
        <w:suppressAutoHyphens/>
        <w:autoSpaceDN w:val="0"/>
        <w:spacing w:after="0" w:line="240" w:lineRule="auto"/>
        <w:contextualSpacing w:val="0"/>
        <w:jc w:val="both"/>
        <w:textAlignment w:val="baseline"/>
        <w:rPr>
          <w:rFonts w:cs="Calibri"/>
        </w:rPr>
      </w:pPr>
      <w:r>
        <w:rPr>
          <w:rFonts w:cs="Calibri"/>
        </w:rPr>
        <w:t>Dodatna ulaganja u ustanove u kulturi 640.593 kn,</w:t>
      </w:r>
    </w:p>
    <w:p w:rsidR="0079684E" w:rsidRDefault="0079684E" w:rsidP="0079684E">
      <w:pPr>
        <w:pStyle w:val="ListParagraph"/>
        <w:numPr>
          <w:ilvl w:val="0"/>
          <w:numId w:val="19"/>
        </w:numPr>
        <w:suppressAutoHyphens/>
        <w:autoSpaceDN w:val="0"/>
        <w:spacing w:after="0" w:line="240" w:lineRule="auto"/>
        <w:contextualSpacing w:val="0"/>
        <w:jc w:val="both"/>
        <w:textAlignment w:val="baseline"/>
        <w:rPr>
          <w:rFonts w:cs="Calibri"/>
        </w:rPr>
      </w:pPr>
      <w:r>
        <w:rPr>
          <w:rFonts w:cs="Calibri"/>
        </w:rPr>
        <w:t>Dodatna ulaganja u predškolske i školske objekte 77.634.554 kn,</w:t>
      </w:r>
    </w:p>
    <w:p w:rsidR="0079684E" w:rsidRDefault="0079684E" w:rsidP="0079684E">
      <w:pPr>
        <w:pStyle w:val="ListParagraph"/>
        <w:numPr>
          <w:ilvl w:val="0"/>
          <w:numId w:val="19"/>
        </w:numPr>
        <w:suppressAutoHyphens/>
        <w:autoSpaceDN w:val="0"/>
        <w:spacing w:after="0" w:line="240" w:lineRule="auto"/>
        <w:contextualSpacing w:val="0"/>
        <w:jc w:val="both"/>
        <w:textAlignment w:val="baseline"/>
        <w:rPr>
          <w:rFonts w:cs="Calibri"/>
        </w:rPr>
      </w:pPr>
      <w:r>
        <w:rPr>
          <w:rFonts w:cs="Calibri"/>
        </w:rPr>
        <w:t>Dodatna ulaganja u zdravstvene objekte i objekte socijalne skrbi 9.038.378 kn,</w:t>
      </w:r>
    </w:p>
    <w:p w:rsidR="0079684E" w:rsidRDefault="0079684E" w:rsidP="0079684E">
      <w:pPr>
        <w:pStyle w:val="ListParagraph"/>
        <w:numPr>
          <w:ilvl w:val="0"/>
          <w:numId w:val="19"/>
        </w:numPr>
        <w:suppressAutoHyphens/>
        <w:autoSpaceDN w:val="0"/>
        <w:spacing w:after="0" w:line="240" w:lineRule="auto"/>
        <w:contextualSpacing w:val="0"/>
        <w:jc w:val="both"/>
        <w:textAlignment w:val="baseline"/>
        <w:rPr>
          <w:rFonts w:cs="Calibri"/>
        </w:rPr>
      </w:pPr>
      <w:r>
        <w:rPr>
          <w:rFonts w:cs="Calibri"/>
        </w:rPr>
        <w:t xml:space="preserve">Dodatna ulaganja na sportskim objektima 6.681.456 kn,  </w:t>
      </w:r>
    </w:p>
    <w:p w:rsidR="0079684E" w:rsidRDefault="0079684E" w:rsidP="0079684E">
      <w:pPr>
        <w:pStyle w:val="ListParagraph"/>
        <w:numPr>
          <w:ilvl w:val="0"/>
          <w:numId w:val="19"/>
        </w:numPr>
        <w:suppressAutoHyphens/>
        <w:autoSpaceDN w:val="0"/>
        <w:spacing w:after="0" w:line="240" w:lineRule="auto"/>
        <w:contextualSpacing w:val="0"/>
        <w:jc w:val="both"/>
        <w:textAlignment w:val="baseline"/>
        <w:rPr>
          <w:rFonts w:cs="Calibri"/>
        </w:rPr>
      </w:pPr>
      <w:r>
        <w:rPr>
          <w:rFonts w:cs="Calibri"/>
        </w:rPr>
        <w:t>Sanacija građevinskih objekata pogođenih u potresu 2.309.945 i</w:t>
      </w:r>
    </w:p>
    <w:p w:rsidR="0079684E" w:rsidRDefault="0079684E" w:rsidP="0079684E">
      <w:pPr>
        <w:pStyle w:val="ListParagraph"/>
        <w:numPr>
          <w:ilvl w:val="0"/>
          <w:numId w:val="19"/>
        </w:numPr>
        <w:suppressAutoHyphens/>
        <w:autoSpaceDN w:val="0"/>
        <w:spacing w:after="0" w:line="240" w:lineRule="auto"/>
        <w:contextualSpacing w:val="0"/>
        <w:jc w:val="both"/>
        <w:textAlignment w:val="baseline"/>
        <w:rPr>
          <w:rFonts w:cs="Calibri"/>
        </w:rPr>
      </w:pPr>
      <w:r>
        <w:rPr>
          <w:rFonts w:cs="Calibri"/>
        </w:rPr>
        <w:t>Ulaganja na ostalim građevinskim objektima 11.421.718.</w:t>
      </w:r>
    </w:p>
    <w:p w:rsidR="0079684E" w:rsidRDefault="0079684E" w:rsidP="0079684E">
      <w:pPr>
        <w:spacing w:after="0"/>
        <w:jc w:val="both"/>
        <w:rPr>
          <w:rFonts w:cs="Calibri"/>
        </w:rPr>
      </w:pPr>
      <w:r>
        <w:rPr>
          <w:rFonts w:cs="Calibri"/>
        </w:rPr>
        <w:t>Ulaganja na ostalim građevinskim objektima odnose se na ulaganja u modernizaciju pothodnika i legalizaciju građevinskih objekata.</w:t>
      </w:r>
    </w:p>
    <w:p w:rsidR="0079684E" w:rsidRDefault="0079684E" w:rsidP="0079684E">
      <w:pPr>
        <w:spacing w:after="0"/>
        <w:jc w:val="both"/>
        <w:rPr>
          <w:rFonts w:cs="Calibri"/>
        </w:rPr>
      </w:pPr>
    </w:p>
    <w:p w:rsidR="0079684E" w:rsidRDefault="0079684E" w:rsidP="0079684E">
      <w:pPr>
        <w:spacing w:after="0"/>
        <w:jc w:val="both"/>
        <w:rPr>
          <w:rFonts w:cs="Calibri"/>
          <w:b/>
        </w:rPr>
      </w:pPr>
    </w:p>
    <w:p w:rsidR="0079684E" w:rsidRDefault="0079684E" w:rsidP="0079684E">
      <w:pPr>
        <w:spacing w:after="0"/>
        <w:jc w:val="both"/>
      </w:pPr>
      <w:r>
        <w:rPr>
          <w:rFonts w:cs="Calibri"/>
          <w:b/>
        </w:rPr>
        <w:t xml:space="preserve">Bilješka br. </w:t>
      </w:r>
      <w:r w:rsidR="008B1B15">
        <w:rPr>
          <w:rFonts w:cs="Calibri"/>
          <w:b/>
        </w:rPr>
        <w:t>71</w:t>
      </w:r>
      <w:r>
        <w:rPr>
          <w:rFonts w:cs="Calibri"/>
        </w:rPr>
        <w:t xml:space="preserve"> </w:t>
      </w:r>
      <w:r>
        <w:rPr>
          <w:rFonts w:cs="Calibri"/>
          <w:b/>
        </w:rPr>
        <w:t>– AOP 395 Dodatna ulaganja na postrojenjima i opremi</w:t>
      </w:r>
    </w:p>
    <w:p w:rsidR="0079684E" w:rsidRDefault="0079684E" w:rsidP="0079684E">
      <w:pPr>
        <w:spacing w:after="0"/>
        <w:jc w:val="both"/>
        <w:rPr>
          <w:rFonts w:cs="Calibri"/>
        </w:rPr>
      </w:pPr>
    </w:p>
    <w:p w:rsidR="0079684E" w:rsidRDefault="0079684E" w:rsidP="0079684E">
      <w:pPr>
        <w:spacing w:after="0"/>
        <w:jc w:val="both"/>
        <w:rPr>
          <w:rFonts w:cs="Calibri"/>
        </w:rPr>
      </w:pPr>
      <w:r>
        <w:rPr>
          <w:rFonts w:cs="Calibri"/>
        </w:rPr>
        <w:t xml:space="preserve">Na ovom AOP-u iskazana je nabavka opreme za Glazbeno učilište </w:t>
      </w:r>
      <w:proofErr w:type="spellStart"/>
      <w:r>
        <w:rPr>
          <w:rFonts w:cs="Calibri"/>
        </w:rPr>
        <w:t>Elly</w:t>
      </w:r>
      <w:proofErr w:type="spellEnd"/>
      <w:r>
        <w:rPr>
          <w:rFonts w:cs="Calibri"/>
        </w:rPr>
        <w:t xml:space="preserve"> Bašić u iznosu 2.503.791 kn. </w:t>
      </w:r>
    </w:p>
    <w:p w:rsidR="0079684E" w:rsidRPr="0079684E" w:rsidRDefault="0079684E" w:rsidP="00FE2A5E">
      <w:pPr>
        <w:rPr>
          <w:rFonts w:cstheme="minorHAnsi"/>
          <w:b/>
          <w:color w:val="000000" w:themeColor="text1"/>
          <w:u w:val="single"/>
        </w:rPr>
      </w:pPr>
    </w:p>
    <w:p w:rsidR="006D3002" w:rsidRDefault="00EA0E33" w:rsidP="005E4779">
      <w:pPr>
        <w:autoSpaceDE w:val="0"/>
        <w:autoSpaceDN w:val="0"/>
        <w:adjustRightInd w:val="0"/>
        <w:spacing w:after="0" w:line="240" w:lineRule="auto"/>
        <w:jc w:val="both"/>
        <w:rPr>
          <w:rFonts w:cstheme="minorHAnsi"/>
          <w:b/>
          <w:u w:val="single"/>
        </w:rPr>
      </w:pPr>
      <w:r w:rsidRPr="00EA0E33">
        <w:rPr>
          <w:rFonts w:cstheme="minorHAnsi"/>
          <w:b/>
          <w:u w:val="single"/>
        </w:rPr>
        <w:t>PRIMICI OD FINANCIJSKE IMOVINE I ZADUŽIVANJA</w:t>
      </w:r>
      <w:r>
        <w:rPr>
          <w:rFonts w:cstheme="minorHAnsi"/>
          <w:b/>
          <w:u w:val="single"/>
        </w:rPr>
        <w:t xml:space="preserve"> </w:t>
      </w:r>
    </w:p>
    <w:p w:rsidR="006D3002" w:rsidRDefault="006D3002" w:rsidP="005E4779">
      <w:pPr>
        <w:autoSpaceDE w:val="0"/>
        <w:autoSpaceDN w:val="0"/>
        <w:adjustRightInd w:val="0"/>
        <w:spacing w:after="0" w:line="240" w:lineRule="auto"/>
        <w:jc w:val="both"/>
        <w:rPr>
          <w:rFonts w:cstheme="minorHAnsi"/>
        </w:rPr>
      </w:pPr>
    </w:p>
    <w:p w:rsidR="00DC40E7" w:rsidRPr="008B1B15" w:rsidRDefault="00DC40E7" w:rsidP="005E4779">
      <w:pPr>
        <w:autoSpaceDE w:val="0"/>
        <w:autoSpaceDN w:val="0"/>
        <w:adjustRightInd w:val="0"/>
        <w:spacing w:after="0" w:line="240" w:lineRule="auto"/>
        <w:jc w:val="both"/>
        <w:rPr>
          <w:rFonts w:cstheme="minorHAnsi"/>
          <w:b/>
          <w:u w:val="single"/>
        </w:rPr>
      </w:pPr>
      <w:r w:rsidRPr="008B1B15">
        <w:rPr>
          <w:rFonts w:cstheme="minorHAnsi"/>
        </w:rPr>
        <w:t xml:space="preserve">Tablica </w:t>
      </w:r>
      <w:r w:rsidR="008B1B15" w:rsidRPr="008B1B15">
        <w:rPr>
          <w:rFonts w:cstheme="minorHAnsi"/>
        </w:rPr>
        <w:t>5</w:t>
      </w:r>
      <w:r w:rsidRPr="008B1B15">
        <w:rPr>
          <w:rFonts w:cstheme="minorHAnsi"/>
        </w:rPr>
        <w:t>: Primici od financijske imovine i zaduživanja</w:t>
      </w:r>
    </w:p>
    <w:p w:rsidR="00DC40E7" w:rsidRPr="0079684E" w:rsidRDefault="00DC40E7" w:rsidP="005E4779">
      <w:pPr>
        <w:autoSpaceDE w:val="0"/>
        <w:autoSpaceDN w:val="0"/>
        <w:adjustRightInd w:val="0"/>
        <w:spacing w:after="0" w:line="240" w:lineRule="auto"/>
        <w:jc w:val="both"/>
        <w:rPr>
          <w:rFonts w:cstheme="minorHAnsi"/>
          <w:color w:val="FF0000"/>
        </w:rPr>
      </w:pPr>
    </w:p>
    <w:tbl>
      <w:tblPr>
        <w:tblStyle w:val="TableGrid"/>
        <w:tblW w:w="0" w:type="auto"/>
        <w:jc w:val="center"/>
        <w:tblLook w:val="04A0" w:firstRow="1" w:lastRow="0" w:firstColumn="1" w:lastColumn="0" w:noHBand="0" w:noVBand="1"/>
      </w:tblPr>
      <w:tblGrid>
        <w:gridCol w:w="651"/>
        <w:gridCol w:w="3030"/>
        <w:gridCol w:w="533"/>
        <w:gridCol w:w="1533"/>
        <w:gridCol w:w="1565"/>
        <w:gridCol w:w="958"/>
      </w:tblGrid>
      <w:tr w:rsidR="0079684E" w:rsidRPr="0079684E" w:rsidTr="00956041">
        <w:trPr>
          <w:trHeight w:val="416"/>
          <w:jc w:val="center"/>
        </w:trPr>
        <w:tc>
          <w:tcPr>
            <w:tcW w:w="651" w:type="dxa"/>
            <w:shd w:val="clear" w:color="auto" w:fill="BDD6EE" w:themeFill="accent1" w:themeFillTint="66"/>
            <w:noWrap/>
            <w:vAlign w:val="center"/>
            <w:hideMark/>
          </w:tcPr>
          <w:p w:rsidR="00DC40E7" w:rsidRPr="004D6EE7" w:rsidRDefault="00DC40E7" w:rsidP="005E4779">
            <w:pPr>
              <w:autoSpaceDE w:val="0"/>
              <w:autoSpaceDN w:val="0"/>
              <w:adjustRightInd w:val="0"/>
              <w:jc w:val="center"/>
              <w:rPr>
                <w:rFonts w:cstheme="minorHAnsi"/>
                <w:sz w:val="16"/>
                <w:szCs w:val="16"/>
              </w:rPr>
            </w:pPr>
            <w:r w:rsidRPr="004D6EE7">
              <w:rPr>
                <w:rFonts w:cstheme="minorHAnsi"/>
                <w:sz w:val="16"/>
                <w:szCs w:val="16"/>
              </w:rPr>
              <w:t>Račun</w:t>
            </w:r>
          </w:p>
        </w:tc>
        <w:tc>
          <w:tcPr>
            <w:tcW w:w="3030" w:type="dxa"/>
            <w:shd w:val="clear" w:color="auto" w:fill="BDD6EE" w:themeFill="accent1" w:themeFillTint="66"/>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OPIS</w:t>
            </w:r>
          </w:p>
        </w:tc>
        <w:tc>
          <w:tcPr>
            <w:tcW w:w="533" w:type="dxa"/>
            <w:shd w:val="clear" w:color="auto" w:fill="BDD6EE" w:themeFill="accent1" w:themeFillTint="66"/>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AOP</w:t>
            </w:r>
          </w:p>
        </w:tc>
        <w:tc>
          <w:tcPr>
            <w:tcW w:w="1533" w:type="dxa"/>
            <w:shd w:val="clear" w:color="auto" w:fill="BDD6EE" w:themeFill="accent1" w:themeFillTint="66"/>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Ostvareno prethodne godine</w:t>
            </w:r>
          </w:p>
        </w:tc>
        <w:tc>
          <w:tcPr>
            <w:tcW w:w="1565" w:type="dxa"/>
            <w:shd w:val="clear" w:color="auto" w:fill="BDD6EE" w:themeFill="accent1" w:themeFillTint="66"/>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Ostvareno u tekućem razdoblju</w:t>
            </w:r>
          </w:p>
        </w:tc>
        <w:tc>
          <w:tcPr>
            <w:tcW w:w="958" w:type="dxa"/>
            <w:shd w:val="clear" w:color="auto" w:fill="BDD6EE" w:themeFill="accent1" w:themeFillTint="66"/>
            <w:noWrap/>
            <w:vAlign w:val="center"/>
            <w:hideMark/>
          </w:tcPr>
          <w:p w:rsidR="00DC40E7" w:rsidRPr="004D6EE7" w:rsidRDefault="00DC40E7" w:rsidP="005E4779">
            <w:pPr>
              <w:autoSpaceDE w:val="0"/>
              <w:autoSpaceDN w:val="0"/>
              <w:adjustRightInd w:val="0"/>
              <w:jc w:val="center"/>
              <w:rPr>
                <w:rFonts w:cstheme="minorHAnsi"/>
                <w:sz w:val="16"/>
                <w:szCs w:val="16"/>
              </w:rPr>
            </w:pPr>
            <w:r w:rsidRPr="004D6EE7">
              <w:rPr>
                <w:rFonts w:cstheme="minorHAnsi"/>
                <w:sz w:val="16"/>
                <w:szCs w:val="16"/>
              </w:rPr>
              <w:t>INDEKS</w:t>
            </w:r>
          </w:p>
        </w:tc>
      </w:tr>
      <w:tr w:rsidR="0079684E" w:rsidRPr="0079684E" w:rsidTr="00956041">
        <w:trPr>
          <w:trHeight w:val="210"/>
          <w:jc w:val="center"/>
        </w:trPr>
        <w:tc>
          <w:tcPr>
            <w:tcW w:w="651" w:type="dxa"/>
            <w:shd w:val="clear" w:color="auto" w:fill="BDD6EE" w:themeFill="accent1" w:themeFillTint="66"/>
            <w:noWrap/>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1</w:t>
            </w:r>
          </w:p>
        </w:tc>
        <w:tc>
          <w:tcPr>
            <w:tcW w:w="3030" w:type="dxa"/>
            <w:shd w:val="clear" w:color="auto" w:fill="BDD6EE" w:themeFill="accent1" w:themeFillTint="66"/>
            <w:noWrap/>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2</w:t>
            </w:r>
          </w:p>
        </w:tc>
        <w:tc>
          <w:tcPr>
            <w:tcW w:w="533" w:type="dxa"/>
            <w:shd w:val="clear" w:color="auto" w:fill="BDD6EE" w:themeFill="accent1" w:themeFillTint="66"/>
            <w:noWrap/>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3</w:t>
            </w:r>
          </w:p>
        </w:tc>
        <w:tc>
          <w:tcPr>
            <w:tcW w:w="1533" w:type="dxa"/>
            <w:shd w:val="clear" w:color="auto" w:fill="BDD6EE" w:themeFill="accent1" w:themeFillTint="66"/>
            <w:noWrap/>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4</w:t>
            </w:r>
          </w:p>
        </w:tc>
        <w:tc>
          <w:tcPr>
            <w:tcW w:w="1565" w:type="dxa"/>
            <w:shd w:val="clear" w:color="auto" w:fill="BDD6EE" w:themeFill="accent1" w:themeFillTint="66"/>
            <w:noWrap/>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5</w:t>
            </w:r>
          </w:p>
        </w:tc>
        <w:tc>
          <w:tcPr>
            <w:tcW w:w="958" w:type="dxa"/>
            <w:shd w:val="clear" w:color="auto" w:fill="BDD6EE" w:themeFill="accent1" w:themeFillTint="66"/>
            <w:noWrap/>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6</w:t>
            </w:r>
          </w:p>
        </w:tc>
      </w:tr>
      <w:tr w:rsidR="0079684E" w:rsidRPr="0079684E" w:rsidTr="00956041">
        <w:trPr>
          <w:trHeight w:val="555"/>
          <w:jc w:val="center"/>
        </w:trPr>
        <w:tc>
          <w:tcPr>
            <w:tcW w:w="651" w:type="dxa"/>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8</w:t>
            </w:r>
          </w:p>
        </w:tc>
        <w:tc>
          <w:tcPr>
            <w:tcW w:w="3030" w:type="dxa"/>
            <w:noWrap/>
            <w:vAlign w:val="center"/>
            <w:hideMark/>
          </w:tcPr>
          <w:p w:rsidR="00DC40E7" w:rsidRPr="004D6EE7" w:rsidRDefault="00DC40E7" w:rsidP="005E4779">
            <w:pPr>
              <w:autoSpaceDE w:val="0"/>
              <w:autoSpaceDN w:val="0"/>
              <w:adjustRightInd w:val="0"/>
              <w:jc w:val="both"/>
              <w:rPr>
                <w:rFonts w:cstheme="minorHAnsi"/>
                <w:sz w:val="18"/>
                <w:szCs w:val="18"/>
              </w:rPr>
            </w:pPr>
            <w:r w:rsidRPr="004D6EE7">
              <w:rPr>
                <w:rFonts w:cstheme="minorHAnsi"/>
                <w:sz w:val="18"/>
                <w:szCs w:val="18"/>
              </w:rPr>
              <w:t>PRIMICI OD FINANCIJSKE IMOVINE I ZADUŽIVANJA</w:t>
            </w:r>
          </w:p>
        </w:tc>
        <w:tc>
          <w:tcPr>
            <w:tcW w:w="533" w:type="dxa"/>
            <w:noWrap/>
            <w:vAlign w:val="center"/>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410</w:t>
            </w:r>
          </w:p>
        </w:tc>
        <w:tc>
          <w:tcPr>
            <w:tcW w:w="1533"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592.779.760</w:t>
            </w:r>
          </w:p>
        </w:tc>
        <w:tc>
          <w:tcPr>
            <w:tcW w:w="1565"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1.336.547.323</w:t>
            </w:r>
          </w:p>
        </w:tc>
        <w:tc>
          <w:tcPr>
            <w:tcW w:w="958" w:type="dxa"/>
            <w:noWrap/>
            <w:vAlign w:val="center"/>
          </w:tcPr>
          <w:p w:rsidR="00DC40E7" w:rsidRPr="004D6EE7" w:rsidRDefault="004D6EE7" w:rsidP="005F7E79">
            <w:pPr>
              <w:autoSpaceDE w:val="0"/>
              <w:autoSpaceDN w:val="0"/>
              <w:adjustRightInd w:val="0"/>
              <w:jc w:val="center"/>
              <w:rPr>
                <w:rFonts w:cstheme="minorHAnsi"/>
                <w:sz w:val="18"/>
                <w:szCs w:val="18"/>
              </w:rPr>
            </w:pPr>
            <w:r w:rsidRPr="004D6EE7">
              <w:rPr>
                <w:rFonts w:cstheme="minorHAnsi"/>
                <w:sz w:val="18"/>
                <w:szCs w:val="18"/>
              </w:rPr>
              <w:t>225</w:t>
            </w:r>
          </w:p>
        </w:tc>
      </w:tr>
      <w:tr w:rsidR="0079684E" w:rsidRPr="0079684E" w:rsidTr="00956041">
        <w:trPr>
          <w:trHeight w:val="555"/>
          <w:jc w:val="center"/>
        </w:trPr>
        <w:tc>
          <w:tcPr>
            <w:tcW w:w="651" w:type="dxa"/>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81</w:t>
            </w:r>
          </w:p>
        </w:tc>
        <w:tc>
          <w:tcPr>
            <w:tcW w:w="3030" w:type="dxa"/>
            <w:vAlign w:val="center"/>
            <w:hideMark/>
          </w:tcPr>
          <w:p w:rsidR="00DC40E7" w:rsidRPr="004D6EE7" w:rsidRDefault="00DC40E7" w:rsidP="005E4779">
            <w:pPr>
              <w:autoSpaceDE w:val="0"/>
              <w:autoSpaceDN w:val="0"/>
              <w:adjustRightInd w:val="0"/>
              <w:jc w:val="both"/>
              <w:rPr>
                <w:rFonts w:cstheme="minorHAnsi"/>
                <w:sz w:val="18"/>
                <w:szCs w:val="18"/>
              </w:rPr>
            </w:pPr>
            <w:r w:rsidRPr="004D6EE7">
              <w:rPr>
                <w:rFonts w:cstheme="minorHAnsi"/>
                <w:sz w:val="18"/>
                <w:szCs w:val="18"/>
              </w:rPr>
              <w:t>PRIMLJENI POVRATI GLAVNICE DANIH ZAJMOVA I DEPOZITA</w:t>
            </w:r>
          </w:p>
        </w:tc>
        <w:tc>
          <w:tcPr>
            <w:tcW w:w="533" w:type="dxa"/>
            <w:noWrap/>
            <w:vAlign w:val="center"/>
          </w:tcPr>
          <w:p w:rsidR="00DC40E7" w:rsidRPr="004D6EE7" w:rsidRDefault="000110FA" w:rsidP="005E4779">
            <w:pPr>
              <w:autoSpaceDE w:val="0"/>
              <w:autoSpaceDN w:val="0"/>
              <w:adjustRightInd w:val="0"/>
              <w:jc w:val="center"/>
              <w:rPr>
                <w:rFonts w:cstheme="minorHAnsi"/>
                <w:sz w:val="18"/>
                <w:szCs w:val="18"/>
              </w:rPr>
            </w:pPr>
            <w:r w:rsidRPr="004D6EE7">
              <w:rPr>
                <w:rFonts w:cstheme="minorHAnsi"/>
                <w:sz w:val="18"/>
                <w:szCs w:val="18"/>
              </w:rPr>
              <w:t>411</w:t>
            </w:r>
          </w:p>
        </w:tc>
        <w:tc>
          <w:tcPr>
            <w:tcW w:w="1533"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224.009</w:t>
            </w:r>
          </w:p>
        </w:tc>
        <w:tc>
          <w:tcPr>
            <w:tcW w:w="1565"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364.488</w:t>
            </w:r>
          </w:p>
        </w:tc>
        <w:tc>
          <w:tcPr>
            <w:tcW w:w="958" w:type="dxa"/>
            <w:noWrap/>
            <w:vAlign w:val="center"/>
          </w:tcPr>
          <w:p w:rsidR="00DC40E7" w:rsidRPr="004D6EE7" w:rsidRDefault="004D6EE7" w:rsidP="005F7E79">
            <w:pPr>
              <w:autoSpaceDE w:val="0"/>
              <w:autoSpaceDN w:val="0"/>
              <w:adjustRightInd w:val="0"/>
              <w:jc w:val="center"/>
              <w:rPr>
                <w:rFonts w:cstheme="minorHAnsi"/>
                <w:sz w:val="18"/>
                <w:szCs w:val="18"/>
              </w:rPr>
            </w:pPr>
            <w:r w:rsidRPr="004D6EE7">
              <w:rPr>
                <w:rFonts w:cstheme="minorHAnsi"/>
                <w:sz w:val="18"/>
                <w:szCs w:val="18"/>
              </w:rPr>
              <w:t>16</w:t>
            </w:r>
            <w:r w:rsidR="00956041" w:rsidRPr="004D6EE7">
              <w:rPr>
                <w:rFonts w:cstheme="minorHAnsi"/>
                <w:sz w:val="18"/>
                <w:szCs w:val="18"/>
              </w:rPr>
              <w:t>3</w:t>
            </w:r>
          </w:p>
        </w:tc>
      </w:tr>
      <w:tr w:rsidR="0079684E" w:rsidRPr="0079684E" w:rsidTr="00956041">
        <w:trPr>
          <w:trHeight w:val="555"/>
          <w:jc w:val="center"/>
        </w:trPr>
        <w:tc>
          <w:tcPr>
            <w:tcW w:w="651" w:type="dxa"/>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812</w:t>
            </w:r>
          </w:p>
        </w:tc>
        <w:tc>
          <w:tcPr>
            <w:tcW w:w="3030" w:type="dxa"/>
            <w:vAlign w:val="center"/>
            <w:hideMark/>
          </w:tcPr>
          <w:p w:rsidR="00DC40E7" w:rsidRPr="004D6EE7" w:rsidRDefault="000110FA" w:rsidP="005E4779">
            <w:pPr>
              <w:autoSpaceDE w:val="0"/>
              <w:autoSpaceDN w:val="0"/>
              <w:adjustRightInd w:val="0"/>
              <w:jc w:val="both"/>
              <w:rPr>
                <w:rFonts w:cstheme="minorHAnsi"/>
                <w:sz w:val="18"/>
                <w:szCs w:val="18"/>
              </w:rPr>
            </w:pPr>
            <w:r w:rsidRPr="004D6EE7">
              <w:rPr>
                <w:rFonts w:cstheme="minorHAnsi"/>
                <w:sz w:val="18"/>
                <w:szCs w:val="18"/>
              </w:rPr>
              <w:t xml:space="preserve">Povrati glavnice zajmova danih </w:t>
            </w:r>
            <w:proofErr w:type="spellStart"/>
            <w:r w:rsidRPr="004D6EE7">
              <w:rPr>
                <w:rFonts w:cstheme="minorHAnsi"/>
                <w:sz w:val="18"/>
                <w:szCs w:val="18"/>
              </w:rPr>
              <w:t>neprofit</w:t>
            </w:r>
            <w:proofErr w:type="spellEnd"/>
            <w:r w:rsidRPr="004D6EE7">
              <w:rPr>
                <w:rFonts w:cstheme="minorHAnsi"/>
                <w:sz w:val="18"/>
                <w:szCs w:val="18"/>
              </w:rPr>
              <w:t xml:space="preserve">. </w:t>
            </w:r>
            <w:proofErr w:type="spellStart"/>
            <w:r w:rsidRPr="004D6EE7">
              <w:rPr>
                <w:rFonts w:cstheme="minorHAnsi"/>
                <w:sz w:val="18"/>
                <w:szCs w:val="18"/>
              </w:rPr>
              <w:t>organiz</w:t>
            </w:r>
            <w:proofErr w:type="spellEnd"/>
            <w:r w:rsidRPr="004D6EE7">
              <w:rPr>
                <w:rFonts w:cstheme="minorHAnsi"/>
                <w:sz w:val="18"/>
                <w:szCs w:val="18"/>
              </w:rPr>
              <w:t>. građanima i kućanstvima</w:t>
            </w:r>
          </w:p>
        </w:tc>
        <w:tc>
          <w:tcPr>
            <w:tcW w:w="533" w:type="dxa"/>
            <w:noWrap/>
            <w:vAlign w:val="center"/>
          </w:tcPr>
          <w:p w:rsidR="00DC40E7" w:rsidRPr="004D6EE7" w:rsidRDefault="000110FA" w:rsidP="005E4779">
            <w:pPr>
              <w:autoSpaceDE w:val="0"/>
              <w:autoSpaceDN w:val="0"/>
              <w:adjustRightInd w:val="0"/>
              <w:jc w:val="center"/>
              <w:rPr>
                <w:rFonts w:cstheme="minorHAnsi"/>
                <w:sz w:val="18"/>
                <w:szCs w:val="18"/>
              </w:rPr>
            </w:pPr>
            <w:r w:rsidRPr="004D6EE7">
              <w:rPr>
                <w:rFonts w:cstheme="minorHAnsi"/>
                <w:sz w:val="18"/>
                <w:szCs w:val="18"/>
              </w:rPr>
              <w:t>417</w:t>
            </w:r>
          </w:p>
        </w:tc>
        <w:tc>
          <w:tcPr>
            <w:tcW w:w="1533"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224.009</w:t>
            </w:r>
          </w:p>
        </w:tc>
        <w:tc>
          <w:tcPr>
            <w:tcW w:w="1565"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364.488</w:t>
            </w:r>
          </w:p>
        </w:tc>
        <w:tc>
          <w:tcPr>
            <w:tcW w:w="958" w:type="dxa"/>
            <w:noWrap/>
            <w:vAlign w:val="center"/>
          </w:tcPr>
          <w:p w:rsidR="00DC40E7" w:rsidRPr="004D6EE7" w:rsidRDefault="004D6EE7" w:rsidP="005F7E79">
            <w:pPr>
              <w:autoSpaceDE w:val="0"/>
              <w:autoSpaceDN w:val="0"/>
              <w:adjustRightInd w:val="0"/>
              <w:jc w:val="center"/>
              <w:rPr>
                <w:rFonts w:cstheme="minorHAnsi"/>
                <w:sz w:val="18"/>
                <w:szCs w:val="18"/>
              </w:rPr>
            </w:pPr>
            <w:r w:rsidRPr="004D6EE7">
              <w:rPr>
                <w:rFonts w:cstheme="minorHAnsi"/>
                <w:sz w:val="18"/>
                <w:szCs w:val="18"/>
              </w:rPr>
              <w:t>163</w:t>
            </w:r>
          </w:p>
        </w:tc>
      </w:tr>
      <w:tr w:rsidR="0079684E" w:rsidRPr="0079684E" w:rsidTr="00956041">
        <w:trPr>
          <w:trHeight w:val="540"/>
          <w:jc w:val="center"/>
        </w:trPr>
        <w:tc>
          <w:tcPr>
            <w:tcW w:w="651" w:type="dxa"/>
            <w:shd w:val="clear" w:color="auto" w:fill="auto"/>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814</w:t>
            </w:r>
          </w:p>
        </w:tc>
        <w:tc>
          <w:tcPr>
            <w:tcW w:w="3030" w:type="dxa"/>
            <w:shd w:val="clear" w:color="auto" w:fill="auto"/>
            <w:noWrap/>
            <w:vAlign w:val="center"/>
            <w:hideMark/>
          </w:tcPr>
          <w:p w:rsidR="00DC40E7" w:rsidRPr="004D6EE7" w:rsidRDefault="000110FA" w:rsidP="005E4779">
            <w:pPr>
              <w:autoSpaceDE w:val="0"/>
              <w:autoSpaceDN w:val="0"/>
              <w:adjustRightInd w:val="0"/>
              <w:jc w:val="both"/>
              <w:rPr>
                <w:rFonts w:cstheme="minorHAnsi"/>
                <w:sz w:val="18"/>
                <w:szCs w:val="18"/>
              </w:rPr>
            </w:pPr>
            <w:r w:rsidRPr="004D6EE7">
              <w:rPr>
                <w:rFonts w:cstheme="minorHAnsi"/>
                <w:sz w:val="18"/>
                <w:szCs w:val="18"/>
              </w:rPr>
              <w:t>Povrati glavnice zajmova danih trgovačkim društvima u javnom sektoru</w:t>
            </w:r>
          </w:p>
        </w:tc>
        <w:tc>
          <w:tcPr>
            <w:tcW w:w="533" w:type="dxa"/>
            <w:shd w:val="clear" w:color="auto" w:fill="auto"/>
            <w:noWrap/>
            <w:vAlign w:val="center"/>
          </w:tcPr>
          <w:p w:rsidR="00DC40E7" w:rsidRPr="004D6EE7" w:rsidRDefault="000110FA" w:rsidP="005E4779">
            <w:pPr>
              <w:autoSpaceDE w:val="0"/>
              <w:autoSpaceDN w:val="0"/>
              <w:adjustRightInd w:val="0"/>
              <w:jc w:val="center"/>
              <w:rPr>
                <w:rFonts w:cstheme="minorHAnsi"/>
                <w:sz w:val="18"/>
                <w:szCs w:val="18"/>
              </w:rPr>
            </w:pPr>
            <w:r w:rsidRPr="004D6EE7">
              <w:rPr>
                <w:rFonts w:cstheme="minorHAnsi"/>
                <w:sz w:val="18"/>
                <w:szCs w:val="18"/>
              </w:rPr>
              <w:t>424</w:t>
            </w:r>
          </w:p>
        </w:tc>
        <w:tc>
          <w:tcPr>
            <w:tcW w:w="1533" w:type="dxa"/>
            <w:shd w:val="clear" w:color="auto" w:fill="auto"/>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0</w:t>
            </w:r>
          </w:p>
        </w:tc>
        <w:tc>
          <w:tcPr>
            <w:tcW w:w="1565" w:type="dxa"/>
            <w:shd w:val="clear" w:color="auto" w:fill="auto"/>
            <w:noWrap/>
            <w:vAlign w:val="center"/>
          </w:tcPr>
          <w:p w:rsidR="00DC40E7" w:rsidRPr="004D6EE7" w:rsidRDefault="00956041" w:rsidP="005F7E79">
            <w:pPr>
              <w:autoSpaceDE w:val="0"/>
              <w:autoSpaceDN w:val="0"/>
              <w:adjustRightInd w:val="0"/>
              <w:jc w:val="center"/>
              <w:rPr>
                <w:rFonts w:cstheme="minorHAnsi"/>
                <w:sz w:val="18"/>
                <w:szCs w:val="18"/>
              </w:rPr>
            </w:pPr>
            <w:r w:rsidRPr="004D6EE7">
              <w:rPr>
                <w:rFonts w:cstheme="minorHAnsi"/>
                <w:sz w:val="18"/>
                <w:szCs w:val="18"/>
              </w:rPr>
              <w:t>0</w:t>
            </w:r>
          </w:p>
        </w:tc>
        <w:tc>
          <w:tcPr>
            <w:tcW w:w="958" w:type="dxa"/>
            <w:shd w:val="clear" w:color="auto" w:fill="auto"/>
            <w:noWrap/>
            <w:vAlign w:val="center"/>
          </w:tcPr>
          <w:p w:rsidR="00DC40E7" w:rsidRPr="004D6EE7" w:rsidRDefault="00956041" w:rsidP="005F7E79">
            <w:pPr>
              <w:autoSpaceDE w:val="0"/>
              <w:autoSpaceDN w:val="0"/>
              <w:adjustRightInd w:val="0"/>
              <w:jc w:val="center"/>
              <w:rPr>
                <w:rFonts w:cstheme="minorHAnsi"/>
                <w:sz w:val="18"/>
                <w:szCs w:val="18"/>
              </w:rPr>
            </w:pPr>
            <w:r w:rsidRPr="004D6EE7">
              <w:rPr>
                <w:rFonts w:cstheme="minorHAnsi"/>
                <w:sz w:val="18"/>
                <w:szCs w:val="18"/>
              </w:rPr>
              <w:t>0</w:t>
            </w:r>
          </w:p>
        </w:tc>
      </w:tr>
      <w:tr w:rsidR="0079684E" w:rsidRPr="0079684E" w:rsidTr="00956041">
        <w:trPr>
          <w:trHeight w:val="555"/>
          <w:jc w:val="center"/>
        </w:trPr>
        <w:tc>
          <w:tcPr>
            <w:tcW w:w="651" w:type="dxa"/>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815</w:t>
            </w:r>
          </w:p>
        </w:tc>
        <w:tc>
          <w:tcPr>
            <w:tcW w:w="3030" w:type="dxa"/>
            <w:noWrap/>
            <w:vAlign w:val="center"/>
            <w:hideMark/>
          </w:tcPr>
          <w:p w:rsidR="00DC40E7" w:rsidRPr="004D6EE7" w:rsidRDefault="000110FA" w:rsidP="005E4779">
            <w:pPr>
              <w:autoSpaceDE w:val="0"/>
              <w:autoSpaceDN w:val="0"/>
              <w:adjustRightInd w:val="0"/>
              <w:jc w:val="both"/>
              <w:rPr>
                <w:rFonts w:cstheme="minorHAnsi"/>
                <w:sz w:val="18"/>
                <w:szCs w:val="18"/>
              </w:rPr>
            </w:pPr>
            <w:r w:rsidRPr="004D6EE7">
              <w:rPr>
                <w:rFonts w:cstheme="minorHAnsi"/>
                <w:sz w:val="18"/>
                <w:szCs w:val="18"/>
              </w:rPr>
              <w:t xml:space="preserve">Povrati glavnice zajmova danih </w:t>
            </w:r>
            <w:r w:rsidR="000534AA" w:rsidRPr="004D6EE7">
              <w:rPr>
                <w:rFonts w:cstheme="minorHAnsi"/>
                <w:sz w:val="18"/>
                <w:szCs w:val="18"/>
              </w:rPr>
              <w:t xml:space="preserve">kreditnim i ostalim </w:t>
            </w:r>
            <w:proofErr w:type="spellStart"/>
            <w:r w:rsidR="000534AA" w:rsidRPr="004D6EE7">
              <w:rPr>
                <w:rFonts w:cstheme="minorHAnsi"/>
                <w:sz w:val="18"/>
                <w:szCs w:val="18"/>
              </w:rPr>
              <w:t>financ</w:t>
            </w:r>
            <w:proofErr w:type="spellEnd"/>
            <w:r w:rsidR="000534AA" w:rsidRPr="004D6EE7">
              <w:rPr>
                <w:rFonts w:cstheme="minorHAnsi"/>
                <w:sz w:val="18"/>
                <w:szCs w:val="18"/>
              </w:rPr>
              <w:t xml:space="preserve"> </w:t>
            </w:r>
            <w:proofErr w:type="spellStart"/>
            <w:r w:rsidR="000534AA" w:rsidRPr="004D6EE7">
              <w:rPr>
                <w:rFonts w:cstheme="minorHAnsi"/>
                <w:sz w:val="18"/>
                <w:szCs w:val="18"/>
              </w:rPr>
              <w:t>instit</w:t>
            </w:r>
            <w:proofErr w:type="spellEnd"/>
            <w:r w:rsidR="000534AA" w:rsidRPr="004D6EE7">
              <w:rPr>
                <w:rFonts w:cstheme="minorHAnsi"/>
                <w:sz w:val="18"/>
                <w:szCs w:val="18"/>
              </w:rPr>
              <w:t xml:space="preserve"> izvan javnog sektora</w:t>
            </w:r>
          </w:p>
        </w:tc>
        <w:tc>
          <w:tcPr>
            <w:tcW w:w="533" w:type="dxa"/>
            <w:noWrap/>
            <w:vAlign w:val="center"/>
          </w:tcPr>
          <w:p w:rsidR="00DC40E7" w:rsidRPr="004D6EE7" w:rsidRDefault="000534AA" w:rsidP="005E4779">
            <w:pPr>
              <w:autoSpaceDE w:val="0"/>
              <w:autoSpaceDN w:val="0"/>
              <w:adjustRightInd w:val="0"/>
              <w:jc w:val="center"/>
              <w:rPr>
                <w:rFonts w:cstheme="minorHAnsi"/>
                <w:sz w:val="18"/>
                <w:szCs w:val="18"/>
              </w:rPr>
            </w:pPr>
            <w:r w:rsidRPr="004D6EE7">
              <w:rPr>
                <w:rFonts w:cstheme="minorHAnsi"/>
                <w:sz w:val="18"/>
                <w:szCs w:val="18"/>
              </w:rPr>
              <w:t>425</w:t>
            </w:r>
          </w:p>
        </w:tc>
        <w:tc>
          <w:tcPr>
            <w:tcW w:w="1533"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0</w:t>
            </w:r>
          </w:p>
        </w:tc>
        <w:tc>
          <w:tcPr>
            <w:tcW w:w="1565" w:type="dxa"/>
            <w:noWrap/>
            <w:vAlign w:val="center"/>
          </w:tcPr>
          <w:p w:rsidR="00DC40E7" w:rsidRPr="004D6EE7" w:rsidRDefault="00956041" w:rsidP="005F7E79">
            <w:pPr>
              <w:autoSpaceDE w:val="0"/>
              <w:autoSpaceDN w:val="0"/>
              <w:adjustRightInd w:val="0"/>
              <w:jc w:val="center"/>
              <w:rPr>
                <w:rFonts w:cstheme="minorHAnsi"/>
                <w:sz w:val="18"/>
                <w:szCs w:val="18"/>
              </w:rPr>
            </w:pPr>
            <w:r w:rsidRPr="004D6EE7">
              <w:rPr>
                <w:rFonts w:cstheme="minorHAnsi"/>
                <w:sz w:val="18"/>
                <w:szCs w:val="18"/>
              </w:rPr>
              <w:t>0</w:t>
            </w:r>
          </w:p>
        </w:tc>
        <w:tc>
          <w:tcPr>
            <w:tcW w:w="958" w:type="dxa"/>
            <w:noWrap/>
            <w:vAlign w:val="center"/>
          </w:tcPr>
          <w:p w:rsidR="00DC40E7" w:rsidRPr="004D6EE7" w:rsidRDefault="00956041" w:rsidP="005F7E79">
            <w:pPr>
              <w:autoSpaceDE w:val="0"/>
              <w:autoSpaceDN w:val="0"/>
              <w:adjustRightInd w:val="0"/>
              <w:jc w:val="center"/>
              <w:rPr>
                <w:rFonts w:cstheme="minorHAnsi"/>
                <w:sz w:val="18"/>
                <w:szCs w:val="18"/>
              </w:rPr>
            </w:pPr>
            <w:r w:rsidRPr="004D6EE7">
              <w:rPr>
                <w:rFonts w:cstheme="minorHAnsi"/>
                <w:sz w:val="18"/>
                <w:szCs w:val="18"/>
              </w:rPr>
              <w:t>0</w:t>
            </w:r>
          </w:p>
        </w:tc>
      </w:tr>
      <w:tr w:rsidR="0079684E" w:rsidRPr="0079684E" w:rsidTr="00956041">
        <w:trPr>
          <w:trHeight w:val="555"/>
          <w:jc w:val="center"/>
        </w:trPr>
        <w:tc>
          <w:tcPr>
            <w:tcW w:w="651" w:type="dxa"/>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83</w:t>
            </w:r>
          </w:p>
        </w:tc>
        <w:tc>
          <w:tcPr>
            <w:tcW w:w="3030" w:type="dxa"/>
            <w:vAlign w:val="center"/>
            <w:hideMark/>
          </w:tcPr>
          <w:p w:rsidR="00DC40E7" w:rsidRPr="004D6EE7" w:rsidRDefault="000534AA" w:rsidP="005E4779">
            <w:pPr>
              <w:autoSpaceDE w:val="0"/>
              <w:autoSpaceDN w:val="0"/>
              <w:adjustRightInd w:val="0"/>
              <w:jc w:val="both"/>
              <w:rPr>
                <w:rFonts w:cstheme="minorHAnsi"/>
                <w:sz w:val="18"/>
                <w:szCs w:val="18"/>
              </w:rPr>
            </w:pPr>
            <w:r w:rsidRPr="004D6EE7">
              <w:rPr>
                <w:rFonts w:cstheme="minorHAnsi"/>
                <w:sz w:val="18"/>
                <w:szCs w:val="18"/>
              </w:rPr>
              <w:t>PRIMICI OD PRODAJE DIONICA I UDJELA U GLAVNICI</w:t>
            </w:r>
          </w:p>
        </w:tc>
        <w:tc>
          <w:tcPr>
            <w:tcW w:w="533" w:type="dxa"/>
            <w:noWrap/>
            <w:vAlign w:val="center"/>
          </w:tcPr>
          <w:p w:rsidR="00DC40E7" w:rsidRPr="004D6EE7" w:rsidRDefault="000534AA" w:rsidP="005E4779">
            <w:pPr>
              <w:autoSpaceDE w:val="0"/>
              <w:autoSpaceDN w:val="0"/>
              <w:adjustRightInd w:val="0"/>
              <w:jc w:val="center"/>
              <w:rPr>
                <w:rFonts w:cstheme="minorHAnsi"/>
                <w:sz w:val="18"/>
                <w:szCs w:val="18"/>
              </w:rPr>
            </w:pPr>
            <w:r w:rsidRPr="004D6EE7">
              <w:rPr>
                <w:rFonts w:cstheme="minorHAnsi"/>
                <w:sz w:val="18"/>
                <w:szCs w:val="18"/>
              </w:rPr>
              <w:t>462</w:t>
            </w:r>
          </w:p>
        </w:tc>
        <w:tc>
          <w:tcPr>
            <w:tcW w:w="1533"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42.801</w:t>
            </w:r>
          </w:p>
        </w:tc>
        <w:tc>
          <w:tcPr>
            <w:tcW w:w="1565"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41.850</w:t>
            </w:r>
          </w:p>
        </w:tc>
        <w:tc>
          <w:tcPr>
            <w:tcW w:w="958" w:type="dxa"/>
            <w:noWrap/>
            <w:vAlign w:val="center"/>
          </w:tcPr>
          <w:p w:rsidR="00DC40E7" w:rsidRPr="004D6EE7" w:rsidRDefault="004D6EE7" w:rsidP="005F7E79">
            <w:pPr>
              <w:autoSpaceDE w:val="0"/>
              <w:autoSpaceDN w:val="0"/>
              <w:adjustRightInd w:val="0"/>
              <w:jc w:val="center"/>
              <w:rPr>
                <w:rFonts w:cstheme="minorHAnsi"/>
                <w:sz w:val="18"/>
                <w:szCs w:val="18"/>
              </w:rPr>
            </w:pPr>
            <w:r w:rsidRPr="004D6EE7">
              <w:rPr>
                <w:rFonts w:cstheme="minorHAnsi"/>
                <w:sz w:val="18"/>
                <w:szCs w:val="18"/>
              </w:rPr>
              <w:t>98</w:t>
            </w:r>
          </w:p>
        </w:tc>
      </w:tr>
      <w:tr w:rsidR="0079684E" w:rsidRPr="0079684E" w:rsidTr="00956041">
        <w:trPr>
          <w:trHeight w:val="555"/>
          <w:jc w:val="center"/>
        </w:trPr>
        <w:tc>
          <w:tcPr>
            <w:tcW w:w="651" w:type="dxa"/>
            <w:noWrap/>
            <w:vAlign w:val="center"/>
            <w:hideMark/>
          </w:tcPr>
          <w:p w:rsidR="00DC40E7" w:rsidRPr="004D6EE7" w:rsidRDefault="00DC40E7" w:rsidP="005E4779">
            <w:pPr>
              <w:autoSpaceDE w:val="0"/>
              <w:autoSpaceDN w:val="0"/>
              <w:adjustRightInd w:val="0"/>
              <w:jc w:val="center"/>
              <w:rPr>
                <w:rFonts w:cstheme="minorHAnsi"/>
                <w:sz w:val="18"/>
                <w:szCs w:val="18"/>
              </w:rPr>
            </w:pPr>
            <w:r w:rsidRPr="004D6EE7">
              <w:rPr>
                <w:rFonts w:cstheme="minorHAnsi"/>
                <w:sz w:val="18"/>
                <w:szCs w:val="18"/>
              </w:rPr>
              <w:t>84</w:t>
            </w:r>
          </w:p>
        </w:tc>
        <w:tc>
          <w:tcPr>
            <w:tcW w:w="3030" w:type="dxa"/>
            <w:vAlign w:val="center"/>
            <w:hideMark/>
          </w:tcPr>
          <w:p w:rsidR="00DC40E7" w:rsidRPr="004D6EE7" w:rsidRDefault="000534AA" w:rsidP="005E4779">
            <w:pPr>
              <w:autoSpaceDE w:val="0"/>
              <w:autoSpaceDN w:val="0"/>
              <w:adjustRightInd w:val="0"/>
              <w:jc w:val="both"/>
              <w:rPr>
                <w:rFonts w:cstheme="minorHAnsi"/>
                <w:sz w:val="18"/>
                <w:szCs w:val="18"/>
              </w:rPr>
            </w:pPr>
            <w:r w:rsidRPr="004D6EE7">
              <w:rPr>
                <w:rFonts w:cstheme="minorHAnsi"/>
                <w:sz w:val="18"/>
                <w:szCs w:val="18"/>
              </w:rPr>
              <w:t>PRIMICI OD ZADUŽIVANJA</w:t>
            </w:r>
          </w:p>
        </w:tc>
        <w:tc>
          <w:tcPr>
            <w:tcW w:w="533" w:type="dxa"/>
            <w:noWrap/>
            <w:vAlign w:val="center"/>
          </w:tcPr>
          <w:p w:rsidR="00DC40E7" w:rsidRPr="004D6EE7" w:rsidRDefault="000534AA" w:rsidP="005E4779">
            <w:pPr>
              <w:autoSpaceDE w:val="0"/>
              <w:autoSpaceDN w:val="0"/>
              <w:adjustRightInd w:val="0"/>
              <w:jc w:val="center"/>
              <w:rPr>
                <w:rFonts w:cstheme="minorHAnsi"/>
                <w:sz w:val="18"/>
                <w:szCs w:val="18"/>
              </w:rPr>
            </w:pPr>
            <w:r w:rsidRPr="004D6EE7">
              <w:rPr>
                <w:rFonts w:cstheme="minorHAnsi"/>
                <w:sz w:val="18"/>
                <w:szCs w:val="18"/>
              </w:rPr>
              <w:t>474</w:t>
            </w:r>
          </w:p>
        </w:tc>
        <w:tc>
          <w:tcPr>
            <w:tcW w:w="1533"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592.501.343</w:t>
            </w:r>
          </w:p>
        </w:tc>
        <w:tc>
          <w:tcPr>
            <w:tcW w:w="1565"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1.336.140.985</w:t>
            </w:r>
          </w:p>
        </w:tc>
        <w:tc>
          <w:tcPr>
            <w:tcW w:w="958" w:type="dxa"/>
            <w:noWrap/>
            <w:vAlign w:val="center"/>
          </w:tcPr>
          <w:p w:rsidR="00DC40E7" w:rsidRPr="004D6EE7" w:rsidRDefault="004D6EE7" w:rsidP="005E4779">
            <w:pPr>
              <w:autoSpaceDE w:val="0"/>
              <w:autoSpaceDN w:val="0"/>
              <w:adjustRightInd w:val="0"/>
              <w:jc w:val="center"/>
              <w:rPr>
                <w:rFonts w:cstheme="minorHAnsi"/>
                <w:sz w:val="18"/>
                <w:szCs w:val="18"/>
              </w:rPr>
            </w:pPr>
            <w:r w:rsidRPr="004D6EE7">
              <w:rPr>
                <w:rFonts w:cstheme="minorHAnsi"/>
                <w:sz w:val="18"/>
                <w:szCs w:val="18"/>
              </w:rPr>
              <w:t>226</w:t>
            </w:r>
          </w:p>
        </w:tc>
      </w:tr>
    </w:tbl>
    <w:p w:rsidR="00FA5DD5" w:rsidRPr="004F1269" w:rsidRDefault="00FA5DD5" w:rsidP="005E4779">
      <w:pPr>
        <w:autoSpaceDE w:val="0"/>
        <w:autoSpaceDN w:val="0"/>
        <w:adjustRightInd w:val="0"/>
        <w:spacing w:after="0" w:line="240" w:lineRule="auto"/>
        <w:jc w:val="both"/>
        <w:rPr>
          <w:rFonts w:cstheme="minorHAnsi"/>
          <w:color w:val="FF0000"/>
        </w:rPr>
      </w:pPr>
    </w:p>
    <w:p w:rsidR="0079684E" w:rsidRPr="004F1269" w:rsidRDefault="00DE021B" w:rsidP="0079684E">
      <w:pPr>
        <w:jc w:val="both"/>
        <w:rPr>
          <w:rFonts w:cstheme="minorHAnsi"/>
          <w:b/>
        </w:rPr>
      </w:pPr>
      <w:r>
        <w:rPr>
          <w:rFonts w:cstheme="minorHAnsi"/>
          <w:b/>
        </w:rPr>
        <w:t xml:space="preserve">Bilješka br. </w:t>
      </w:r>
      <w:r w:rsidR="008B1B15" w:rsidRPr="004F1269">
        <w:rPr>
          <w:rFonts w:cstheme="minorHAnsi"/>
          <w:b/>
        </w:rPr>
        <w:t xml:space="preserve">72 </w:t>
      </w:r>
      <w:r w:rsidR="0079684E" w:rsidRPr="004F1269">
        <w:rPr>
          <w:rFonts w:cstheme="minorHAnsi"/>
          <w:b/>
        </w:rPr>
        <w:t>AOP 418</w:t>
      </w:r>
      <w:r w:rsidR="008B1B15" w:rsidRPr="004F1269">
        <w:rPr>
          <w:rFonts w:cstheme="minorHAnsi"/>
          <w:b/>
        </w:rPr>
        <w:t xml:space="preserve"> - </w:t>
      </w:r>
      <w:r w:rsidR="0079684E" w:rsidRPr="004F1269">
        <w:rPr>
          <w:rFonts w:cstheme="minorHAnsi"/>
          <w:b/>
          <w:i/>
        </w:rPr>
        <w:t>Povrat zajmova danih neprofitnim organizacijama, građanima i kućanstvima u tuzemstvu</w:t>
      </w:r>
    </w:p>
    <w:p w:rsidR="008B1B15" w:rsidRPr="004120DD" w:rsidRDefault="0079684E" w:rsidP="0079684E">
      <w:pPr>
        <w:jc w:val="both"/>
        <w:rPr>
          <w:rFonts w:cstheme="minorHAnsi"/>
        </w:rPr>
      </w:pPr>
      <w:r w:rsidRPr="004F1269">
        <w:rPr>
          <w:rFonts w:cstheme="minorHAnsi"/>
        </w:rPr>
        <w:t>Povećanje prihoda od povrata zajmova danih neprofitnim organizacijama, građanima i kućanstvima u tuzemstvu u odnosu na prethodnu godinu nastalo je iz razloga što su neki zaposlenici otplatili  zajmove u cijelosti.</w:t>
      </w:r>
    </w:p>
    <w:p w:rsidR="0079684E" w:rsidRPr="00731EFB" w:rsidRDefault="008B1B15" w:rsidP="0079684E">
      <w:pPr>
        <w:jc w:val="both"/>
        <w:rPr>
          <w:rFonts w:cstheme="minorHAnsi"/>
          <w:b/>
        </w:rPr>
      </w:pPr>
      <w:r w:rsidRPr="00731EFB">
        <w:rPr>
          <w:rFonts w:cstheme="minorHAnsi"/>
          <w:b/>
        </w:rPr>
        <w:lastRenderedPageBreak/>
        <w:t xml:space="preserve">Bilješka br. 73 </w:t>
      </w:r>
      <w:r w:rsidR="0079684E" w:rsidRPr="00731EFB">
        <w:rPr>
          <w:rFonts w:cstheme="minorHAnsi"/>
          <w:b/>
        </w:rPr>
        <w:t>AOP 481</w:t>
      </w:r>
      <w:r w:rsidRPr="00731EFB">
        <w:rPr>
          <w:rFonts w:cstheme="minorHAnsi"/>
          <w:b/>
        </w:rPr>
        <w:t xml:space="preserve"> - </w:t>
      </w:r>
      <w:r w:rsidR="0079684E" w:rsidRPr="00731EFB">
        <w:rPr>
          <w:rFonts w:cstheme="minorHAnsi"/>
          <w:b/>
        </w:rPr>
        <w:t>Primljeni krediti od kreditnih institucija u javnom sektoru</w:t>
      </w:r>
    </w:p>
    <w:p w:rsidR="0079684E" w:rsidRPr="004F1269" w:rsidRDefault="0079684E" w:rsidP="0079684E">
      <w:pPr>
        <w:autoSpaceDE w:val="0"/>
        <w:autoSpaceDN w:val="0"/>
        <w:adjustRightInd w:val="0"/>
        <w:jc w:val="both"/>
        <w:rPr>
          <w:rFonts w:cstheme="minorHAnsi"/>
        </w:rPr>
      </w:pPr>
      <w:r w:rsidRPr="004F1269">
        <w:rPr>
          <w:rFonts w:cstheme="minorHAnsi"/>
        </w:rPr>
        <w:t>Primitci po primljenim kreditima od tuzemnih kreditnih institucija u javnom sektoru, odnose se na korištenje kreditnih sredstava za energetsku obnovu zgrada javne namjene putem Programa „ESIF krediti za energetsku učinkovitost“, na osnovu kojeg su, dana 5. rujna 2019., sklopljena 23 Ugovora o kreditu između Grada Zagreba i Hrvatske banke za obnovu i razvitak.  Ukupan iznos odobrenih kreditnih sredstava iznosi 52.269.132,07 dok iskorišteni iznos sredstava – stanje na dan 31.12.2020. iznosi 25.582.575,69 kn.</w:t>
      </w:r>
    </w:p>
    <w:p w:rsidR="008B1B15" w:rsidRPr="004F1269" w:rsidRDefault="008B1B15" w:rsidP="0079684E">
      <w:pPr>
        <w:autoSpaceDE w:val="0"/>
        <w:autoSpaceDN w:val="0"/>
        <w:adjustRightInd w:val="0"/>
        <w:jc w:val="both"/>
        <w:rPr>
          <w:rFonts w:cstheme="minorHAnsi"/>
          <w:b/>
        </w:rPr>
      </w:pPr>
    </w:p>
    <w:p w:rsidR="0079684E" w:rsidRPr="00731EFB" w:rsidRDefault="008B1B15" w:rsidP="0079684E">
      <w:pPr>
        <w:autoSpaceDE w:val="0"/>
        <w:autoSpaceDN w:val="0"/>
        <w:adjustRightInd w:val="0"/>
        <w:jc w:val="both"/>
        <w:rPr>
          <w:rFonts w:cstheme="minorHAnsi"/>
          <w:b/>
        </w:rPr>
      </w:pPr>
      <w:r w:rsidRPr="00731EFB">
        <w:rPr>
          <w:rFonts w:cstheme="minorHAnsi"/>
          <w:b/>
        </w:rPr>
        <w:t xml:space="preserve">Bilješka br. 74 </w:t>
      </w:r>
      <w:r w:rsidR="0079684E" w:rsidRPr="00731EFB">
        <w:rPr>
          <w:rFonts w:cstheme="minorHAnsi"/>
          <w:b/>
        </w:rPr>
        <w:t>AOP 484</w:t>
      </w:r>
      <w:r w:rsidRPr="00731EFB">
        <w:rPr>
          <w:rFonts w:cstheme="minorHAnsi"/>
          <w:b/>
        </w:rPr>
        <w:t xml:space="preserve"> - </w:t>
      </w:r>
      <w:r w:rsidR="0079684E" w:rsidRPr="00731EFB">
        <w:rPr>
          <w:rFonts w:cstheme="minorHAnsi"/>
          <w:b/>
        </w:rPr>
        <w:t>Primljeni zajmovi od trgovačkih društava u javnom sektoru</w:t>
      </w:r>
      <w:r w:rsidR="0079684E" w:rsidRPr="00731EFB">
        <w:rPr>
          <w:rFonts w:cstheme="minorHAnsi"/>
        </w:rPr>
        <w:t xml:space="preserve"> u iznosu od 130.962.799,71 kuna odnose se na:</w:t>
      </w:r>
    </w:p>
    <w:p w:rsidR="0079684E" w:rsidRPr="004F1269" w:rsidRDefault="0079684E" w:rsidP="0079684E">
      <w:pPr>
        <w:pStyle w:val="ListParagraph"/>
        <w:numPr>
          <w:ilvl w:val="0"/>
          <w:numId w:val="9"/>
        </w:numPr>
        <w:spacing w:line="256" w:lineRule="auto"/>
        <w:jc w:val="both"/>
        <w:rPr>
          <w:rFonts w:cstheme="minorHAnsi"/>
          <w:b/>
        </w:rPr>
      </w:pPr>
      <w:r w:rsidRPr="004F1269">
        <w:rPr>
          <w:rFonts w:cstheme="minorHAnsi"/>
        </w:rPr>
        <w:t>Sporazum o otplati duga 2-2020 između Zagrebačkog holdinga d.o.o. i Grada Zagreba u iznosu od 60.062.663,14 kune</w:t>
      </w:r>
    </w:p>
    <w:p w:rsidR="0079684E" w:rsidRPr="004F1269" w:rsidRDefault="0079684E" w:rsidP="0079684E">
      <w:pPr>
        <w:pStyle w:val="ListParagraph"/>
        <w:numPr>
          <w:ilvl w:val="0"/>
          <w:numId w:val="9"/>
        </w:numPr>
        <w:spacing w:line="256" w:lineRule="auto"/>
        <w:jc w:val="both"/>
        <w:rPr>
          <w:rFonts w:cstheme="minorHAnsi"/>
          <w:b/>
        </w:rPr>
      </w:pPr>
      <w:r w:rsidRPr="004F1269">
        <w:rPr>
          <w:rFonts w:cstheme="minorHAnsi"/>
        </w:rPr>
        <w:t>Sporazum o otplati duga 4-2020 između Zagrebačkog holdinga d.o.o. i Grada Zagreba u iznosu od 40.324.105,34 kune</w:t>
      </w:r>
    </w:p>
    <w:p w:rsidR="0079684E" w:rsidRPr="004F1269" w:rsidRDefault="0079684E" w:rsidP="0079684E">
      <w:pPr>
        <w:pStyle w:val="ListParagraph"/>
        <w:numPr>
          <w:ilvl w:val="0"/>
          <w:numId w:val="9"/>
        </w:numPr>
        <w:spacing w:line="256" w:lineRule="auto"/>
        <w:jc w:val="both"/>
        <w:rPr>
          <w:rFonts w:cstheme="minorHAnsi"/>
          <w:b/>
        </w:rPr>
      </w:pPr>
      <w:r w:rsidRPr="004F1269">
        <w:rPr>
          <w:rFonts w:cstheme="minorHAnsi"/>
        </w:rPr>
        <w:t>Sporazum o obročnoj otplati duga između Zagrebačkog holdinga d.o.o. i Grada Zagreba u iznosu od 30.576.031,23 kune</w:t>
      </w:r>
    </w:p>
    <w:p w:rsidR="008B1B15" w:rsidRPr="004F1269" w:rsidRDefault="008B1B15" w:rsidP="0079684E">
      <w:pPr>
        <w:jc w:val="both"/>
        <w:rPr>
          <w:rFonts w:cstheme="minorHAnsi"/>
          <w:b/>
        </w:rPr>
      </w:pPr>
    </w:p>
    <w:p w:rsidR="0079684E" w:rsidRPr="00731EFB" w:rsidRDefault="008B1B15" w:rsidP="0079684E">
      <w:pPr>
        <w:jc w:val="both"/>
        <w:rPr>
          <w:rFonts w:cstheme="minorHAnsi"/>
          <w:b/>
        </w:rPr>
      </w:pPr>
      <w:r w:rsidRPr="00731EFB">
        <w:rPr>
          <w:rFonts w:cstheme="minorHAnsi"/>
          <w:b/>
        </w:rPr>
        <w:t xml:space="preserve">Bilješka br. 75 </w:t>
      </w:r>
      <w:r w:rsidR="0079684E" w:rsidRPr="00731EFB">
        <w:rPr>
          <w:rFonts w:cstheme="minorHAnsi"/>
          <w:b/>
        </w:rPr>
        <w:t>AOP 485</w:t>
      </w:r>
      <w:r w:rsidR="0079684E" w:rsidRPr="00731EFB">
        <w:rPr>
          <w:rFonts w:cstheme="minorHAnsi"/>
        </w:rPr>
        <w:t xml:space="preserve"> </w:t>
      </w:r>
      <w:r w:rsidRPr="00731EFB">
        <w:rPr>
          <w:rFonts w:cstheme="minorHAnsi"/>
        </w:rPr>
        <w:t xml:space="preserve">- </w:t>
      </w:r>
      <w:r w:rsidR="0079684E" w:rsidRPr="00731EFB">
        <w:rPr>
          <w:rFonts w:cstheme="minorHAnsi"/>
          <w:b/>
        </w:rPr>
        <w:t xml:space="preserve">Primljeni krediti i zajmovi od kreditnih i ostalih institucija izvan javnog sektora </w:t>
      </w:r>
    </w:p>
    <w:p w:rsidR="0079684E" w:rsidRPr="004F1269" w:rsidRDefault="0079684E" w:rsidP="0079684E">
      <w:pPr>
        <w:jc w:val="both"/>
        <w:rPr>
          <w:rFonts w:cstheme="minorHAnsi"/>
        </w:rPr>
      </w:pPr>
      <w:r w:rsidRPr="004F1269">
        <w:rPr>
          <w:rFonts w:cstheme="minorHAnsi"/>
        </w:rPr>
        <w:t>Primljeni krediti i zajmovi od kreditnih i ostalih institucija izvan javnog sektora u iznosu od 749.925.315,46 kuna odnose se na:</w:t>
      </w:r>
    </w:p>
    <w:p w:rsidR="0079684E" w:rsidRPr="004F1269" w:rsidRDefault="0079684E" w:rsidP="0079684E">
      <w:pPr>
        <w:rPr>
          <w:rFonts w:cstheme="minorHAnsi"/>
        </w:rPr>
      </w:pPr>
      <w:r w:rsidRPr="004F1269">
        <w:rPr>
          <w:rFonts w:cstheme="minorHAnsi"/>
        </w:rPr>
        <w:t xml:space="preserve">-Primljene zajmove po </w:t>
      </w:r>
      <w:proofErr w:type="spellStart"/>
      <w:r w:rsidRPr="004F1269">
        <w:rPr>
          <w:rFonts w:cstheme="minorHAnsi"/>
        </w:rPr>
        <w:t>faktoringu</w:t>
      </w:r>
      <w:proofErr w:type="spellEnd"/>
      <w:r w:rsidRPr="004F1269">
        <w:rPr>
          <w:rFonts w:cstheme="minorHAnsi"/>
        </w:rPr>
        <w:t xml:space="preserve"> od tuzemnih kreditnih institucija izvan javnog sektora u iznosu od 462.085.315,46 kuna:</w:t>
      </w:r>
    </w:p>
    <w:p w:rsidR="0079684E" w:rsidRPr="004F1269" w:rsidRDefault="0079684E" w:rsidP="0079684E">
      <w:pPr>
        <w:pStyle w:val="ListParagraph"/>
        <w:numPr>
          <w:ilvl w:val="0"/>
          <w:numId w:val="9"/>
        </w:numPr>
        <w:spacing w:line="256" w:lineRule="auto"/>
        <w:jc w:val="both"/>
        <w:rPr>
          <w:rFonts w:cstheme="minorHAnsi"/>
          <w:b/>
        </w:rPr>
      </w:pPr>
      <w:r w:rsidRPr="004F1269">
        <w:rPr>
          <w:rFonts w:cstheme="minorHAnsi"/>
        </w:rPr>
        <w:t xml:space="preserve">Ugovor o cesiji – tuzemni </w:t>
      </w:r>
      <w:proofErr w:type="spellStart"/>
      <w:r w:rsidRPr="004F1269">
        <w:rPr>
          <w:rFonts w:cstheme="minorHAnsi"/>
        </w:rPr>
        <w:t>bezregresni</w:t>
      </w:r>
      <w:proofErr w:type="spellEnd"/>
      <w:r w:rsidRPr="004F1269">
        <w:rPr>
          <w:rFonts w:cstheme="minorHAnsi"/>
        </w:rPr>
        <w:t xml:space="preserve"> između </w:t>
      </w:r>
      <w:proofErr w:type="spellStart"/>
      <w:r w:rsidRPr="004F1269">
        <w:rPr>
          <w:rFonts w:cstheme="minorHAnsi"/>
        </w:rPr>
        <w:t>Erste&amp;Steiermärkische</w:t>
      </w:r>
      <w:proofErr w:type="spellEnd"/>
      <w:r w:rsidRPr="004F1269">
        <w:rPr>
          <w:rFonts w:cstheme="minorHAnsi"/>
        </w:rPr>
        <w:t xml:space="preserve"> Bank d.d., Zagrebačkog električnog tramvaja d.o.o. i Grada Zagreba u iznosu od 30.576.031,23 kune i Sporazum o obročnoj otplati duga između Zagrebačkog električnog tramvaja d.o.o. i Grada Zagreba</w:t>
      </w:r>
    </w:p>
    <w:p w:rsidR="0079684E" w:rsidRPr="004F1269" w:rsidRDefault="0079684E" w:rsidP="0079684E">
      <w:pPr>
        <w:pStyle w:val="ListParagraph"/>
        <w:numPr>
          <w:ilvl w:val="0"/>
          <w:numId w:val="9"/>
        </w:numPr>
        <w:spacing w:line="256" w:lineRule="auto"/>
        <w:jc w:val="both"/>
        <w:rPr>
          <w:rFonts w:cstheme="minorHAnsi"/>
        </w:rPr>
      </w:pPr>
      <w:r w:rsidRPr="004F1269">
        <w:rPr>
          <w:rFonts w:cstheme="minorHAnsi"/>
        </w:rPr>
        <w:t xml:space="preserve">Ugovor o cesiji – tuzemni </w:t>
      </w:r>
      <w:proofErr w:type="spellStart"/>
      <w:r w:rsidRPr="004F1269">
        <w:rPr>
          <w:rFonts w:cstheme="minorHAnsi"/>
        </w:rPr>
        <w:t>bezregresni</w:t>
      </w:r>
      <w:proofErr w:type="spellEnd"/>
      <w:r w:rsidRPr="004F1269">
        <w:rPr>
          <w:rFonts w:cstheme="minorHAnsi"/>
        </w:rPr>
        <w:t xml:space="preserve"> između </w:t>
      </w:r>
      <w:proofErr w:type="spellStart"/>
      <w:r w:rsidRPr="004F1269">
        <w:rPr>
          <w:rFonts w:cstheme="minorHAnsi"/>
        </w:rPr>
        <w:t>Erste&amp;Steiermärkische</w:t>
      </w:r>
      <w:proofErr w:type="spellEnd"/>
      <w:r w:rsidRPr="004F1269">
        <w:rPr>
          <w:rFonts w:cstheme="minorHAnsi"/>
        </w:rPr>
        <w:t xml:space="preserve"> Bank d.d., Zagrebačkog holdinga d.o.o. i Grada Zagreba i Sporazum o otplati duga 1-2020 između Zagrebačkog holdinga d.o.o. i Grada Zagreba u iznosu od 60.158.685,01 kune</w:t>
      </w:r>
    </w:p>
    <w:p w:rsidR="0079684E" w:rsidRPr="004F1269" w:rsidRDefault="0079684E" w:rsidP="0079684E">
      <w:pPr>
        <w:pStyle w:val="ListParagraph"/>
        <w:numPr>
          <w:ilvl w:val="0"/>
          <w:numId w:val="9"/>
        </w:numPr>
        <w:spacing w:line="256" w:lineRule="auto"/>
        <w:jc w:val="both"/>
        <w:rPr>
          <w:rFonts w:cstheme="minorHAnsi"/>
        </w:rPr>
      </w:pPr>
      <w:r w:rsidRPr="004F1269">
        <w:rPr>
          <w:rFonts w:cstheme="minorHAnsi"/>
        </w:rPr>
        <w:t>Ugovor o otkupu potraživanja/ustupanju tražbina – obična cesija između OTP banke d.d., Zagrebačkog holdinga d.o.o. i Grada Zagreba i Sporazum o otplati duga 3-2020 između Zagrebačkog holdinga d.o.o. i Grada Zagreba u iznosu od 150.040.381,49 kune</w:t>
      </w:r>
    </w:p>
    <w:p w:rsidR="0079684E" w:rsidRPr="004F1269" w:rsidRDefault="0079684E" w:rsidP="0079684E">
      <w:pPr>
        <w:pStyle w:val="ListParagraph"/>
        <w:numPr>
          <w:ilvl w:val="0"/>
          <w:numId w:val="9"/>
        </w:numPr>
        <w:spacing w:line="256" w:lineRule="auto"/>
        <w:jc w:val="both"/>
        <w:rPr>
          <w:rFonts w:cstheme="minorHAnsi"/>
        </w:rPr>
      </w:pPr>
      <w:r w:rsidRPr="004F1269">
        <w:rPr>
          <w:rFonts w:cstheme="minorHAnsi"/>
        </w:rPr>
        <w:t xml:space="preserve">Ugovor o cesiji – tuzemni </w:t>
      </w:r>
      <w:proofErr w:type="spellStart"/>
      <w:r w:rsidRPr="004F1269">
        <w:rPr>
          <w:rFonts w:cstheme="minorHAnsi"/>
        </w:rPr>
        <w:t>bezregresni</w:t>
      </w:r>
      <w:proofErr w:type="spellEnd"/>
      <w:r w:rsidRPr="004F1269">
        <w:rPr>
          <w:rFonts w:cstheme="minorHAnsi"/>
        </w:rPr>
        <w:t xml:space="preserve"> između </w:t>
      </w:r>
      <w:proofErr w:type="spellStart"/>
      <w:r w:rsidRPr="004F1269">
        <w:rPr>
          <w:rFonts w:cstheme="minorHAnsi"/>
        </w:rPr>
        <w:t>Erste&amp;Steiermärkische</w:t>
      </w:r>
      <w:proofErr w:type="spellEnd"/>
      <w:r w:rsidRPr="004F1269">
        <w:rPr>
          <w:rFonts w:cstheme="minorHAnsi"/>
        </w:rPr>
        <w:t xml:space="preserve"> Bank d.d., Zagrebačkog električnog tramvaja d.o.o. i Grada Zagreba u iznosu od 30.000.000,00 kuna</w:t>
      </w:r>
    </w:p>
    <w:p w:rsidR="0079684E" w:rsidRPr="004F1269" w:rsidRDefault="0079684E" w:rsidP="0079684E">
      <w:pPr>
        <w:pStyle w:val="ListParagraph"/>
        <w:numPr>
          <w:ilvl w:val="0"/>
          <w:numId w:val="9"/>
        </w:numPr>
        <w:spacing w:line="256" w:lineRule="auto"/>
        <w:jc w:val="both"/>
        <w:rPr>
          <w:rFonts w:cstheme="minorHAnsi"/>
        </w:rPr>
      </w:pPr>
      <w:r w:rsidRPr="004F1269">
        <w:rPr>
          <w:rFonts w:cstheme="minorHAnsi"/>
        </w:rPr>
        <w:t>Ugovor o međusobnim odnosima iz poslova otkupa potraživanja između Zagrebačke banke d.d., Zagrebačkih otpadnih voda d.o.o, Vodoopskrbe i odvodnje d.o.o. i Grada Zagreba i Ugovor o otkupu tražbine bez prava regresa između Zagrebačke banke i Grada Zagreba u iznosu od 100.000.000,00 kuna</w:t>
      </w:r>
    </w:p>
    <w:p w:rsidR="0079684E" w:rsidRPr="004F1269" w:rsidRDefault="0079684E" w:rsidP="0079684E">
      <w:pPr>
        <w:pStyle w:val="ListParagraph"/>
        <w:numPr>
          <w:ilvl w:val="0"/>
          <w:numId w:val="9"/>
        </w:numPr>
        <w:spacing w:line="256" w:lineRule="auto"/>
        <w:jc w:val="both"/>
        <w:rPr>
          <w:rFonts w:cstheme="minorHAnsi"/>
        </w:rPr>
      </w:pPr>
      <w:r w:rsidRPr="004F1269">
        <w:rPr>
          <w:rFonts w:cstheme="minorHAnsi"/>
        </w:rPr>
        <w:t xml:space="preserve">Ugovor o cesiji – tuzemni </w:t>
      </w:r>
      <w:proofErr w:type="spellStart"/>
      <w:r w:rsidRPr="004F1269">
        <w:rPr>
          <w:rFonts w:cstheme="minorHAnsi"/>
        </w:rPr>
        <w:t>bezregresni</w:t>
      </w:r>
      <w:proofErr w:type="spellEnd"/>
      <w:r w:rsidRPr="004F1269">
        <w:rPr>
          <w:rFonts w:cstheme="minorHAnsi"/>
        </w:rPr>
        <w:t xml:space="preserve"> između </w:t>
      </w:r>
      <w:proofErr w:type="spellStart"/>
      <w:r w:rsidRPr="004F1269">
        <w:rPr>
          <w:rFonts w:cstheme="minorHAnsi"/>
        </w:rPr>
        <w:t>Erste&amp;Steiermärkische</w:t>
      </w:r>
      <w:proofErr w:type="spellEnd"/>
      <w:r w:rsidRPr="004F1269">
        <w:rPr>
          <w:rFonts w:cstheme="minorHAnsi"/>
        </w:rPr>
        <w:t xml:space="preserve"> Bank d.d., Zagrebačkih otpadnih voda d.o.o, Vodoopskrbe i odvodnje d.o.o. i Grada Zagreba i Sporazum o podmirenju troškova – tuzemni </w:t>
      </w:r>
      <w:proofErr w:type="spellStart"/>
      <w:r w:rsidRPr="004F1269">
        <w:rPr>
          <w:rFonts w:cstheme="minorHAnsi"/>
        </w:rPr>
        <w:t>bezregresni</w:t>
      </w:r>
      <w:proofErr w:type="spellEnd"/>
      <w:r w:rsidRPr="004F1269">
        <w:rPr>
          <w:rFonts w:cstheme="minorHAnsi"/>
        </w:rPr>
        <w:t xml:space="preserve"> između </w:t>
      </w:r>
      <w:proofErr w:type="spellStart"/>
      <w:r w:rsidRPr="004F1269">
        <w:rPr>
          <w:rFonts w:cstheme="minorHAnsi"/>
        </w:rPr>
        <w:t>Erste&amp;Steiermärkische</w:t>
      </w:r>
      <w:proofErr w:type="spellEnd"/>
      <w:r w:rsidRPr="004F1269">
        <w:rPr>
          <w:rFonts w:cstheme="minorHAnsi"/>
        </w:rPr>
        <w:t xml:space="preserve"> Bank d.d.  i Grada Zagreba u iznosu od 40.000.000,00 kuna</w:t>
      </w:r>
    </w:p>
    <w:p w:rsidR="0079684E" w:rsidRPr="004F1269" w:rsidRDefault="0079684E" w:rsidP="0079684E">
      <w:pPr>
        <w:pStyle w:val="ListParagraph"/>
        <w:numPr>
          <w:ilvl w:val="0"/>
          <w:numId w:val="9"/>
        </w:numPr>
        <w:spacing w:line="256" w:lineRule="auto"/>
        <w:jc w:val="both"/>
        <w:rPr>
          <w:rFonts w:cstheme="minorHAnsi"/>
        </w:rPr>
      </w:pPr>
      <w:r w:rsidRPr="004F1269">
        <w:rPr>
          <w:rFonts w:cstheme="minorHAnsi"/>
        </w:rPr>
        <w:lastRenderedPageBreak/>
        <w:t xml:space="preserve">Ugovor o cesiji – tuzemni </w:t>
      </w:r>
      <w:proofErr w:type="spellStart"/>
      <w:r w:rsidRPr="004F1269">
        <w:rPr>
          <w:rFonts w:cstheme="minorHAnsi"/>
        </w:rPr>
        <w:t>bezregresni</w:t>
      </w:r>
      <w:proofErr w:type="spellEnd"/>
      <w:r w:rsidRPr="004F1269">
        <w:rPr>
          <w:rFonts w:cstheme="minorHAnsi"/>
        </w:rPr>
        <w:t xml:space="preserve"> između </w:t>
      </w:r>
      <w:proofErr w:type="spellStart"/>
      <w:r w:rsidRPr="004F1269">
        <w:rPr>
          <w:rFonts w:cstheme="minorHAnsi"/>
        </w:rPr>
        <w:t>Erste&amp;Steiermärkische</w:t>
      </w:r>
      <w:proofErr w:type="spellEnd"/>
      <w:r w:rsidRPr="004F1269">
        <w:rPr>
          <w:rFonts w:cstheme="minorHAnsi"/>
        </w:rPr>
        <w:t xml:space="preserve"> Bank d.d., Vodoopskrbe i odvodnje d.o.o. i Grada Zagreba i Ugovor o otkupu dospjelih potraživanja između Vodoopskrbe i odvodnje d.o.o i </w:t>
      </w:r>
      <w:proofErr w:type="spellStart"/>
      <w:r w:rsidRPr="004F1269">
        <w:rPr>
          <w:rFonts w:cstheme="minorHAnsi"/>
        </w:rPr>
        <w:t>Erste&amp;Steiermärkische</w:t>
      </w:r>
      <w:proofErr w:type="spellEnd"/>
      <w:r w:rsidRPr="004F1269">
        <w:rPr>
          <w:rFonts w:cstheme="minorHAnsi"/>
        </w:rPr>
        <w:t xml:space="preserve"> Bank d.d. u iznosu od 51.310.217,74 kune</w:t>
      </w:r>
    </w:p>
    <w:p w:rsidR="0079684E" w:rsidRPr="004F1269" w:rsidRDefault="0079684E" w:rsidP="0079684E">
      <w:pPr>
        <w:jc w:val="both"/>
        <w:rPr>
          <w:rFonts w:cstheme="minorHAnsi"/>
        </w:rPr>
      </w:pPr>
      <w:r w:rsidRPr="004F1269">
        <w:rPr>
          <w:rFonts w:cstheme="minorHAnsi"/>
        </w:rPr>
        <w:t>-Primljene kredite od tuzemnih kreditnih institucija izvan javnog sektora – Dugoročni u iznosu od 287.840.000,00 kuna :</w:t>
      </w:r>
    </w:p>
    <w:p w:rsidR="0079684E" w:rsidRPr="004F1269" w:rsidRDefault="0079684E" w:rsidP="0079684E">
      <w:pPr>
        <w:pStyle w:val="ListParagraph"/>
        <w:numPr>
          <w:ilvl w:val="0"/>
          <w:numId w:val="9"/>
        </w:numPr>
        <w:jc w:val="both"/>
        <w:rPr>
          <w:rFonts w:cstheme="minorHAnsi"/>
          <w:b/>
        </w:rPr>
      </w:pPr>
      <w:r w:rsidRPr="004F1269">
        <w:rPr>
          <w:rFonts w:cstheme="minorHAnsi"/>
        </w:rPr>
        <w:t>Sklopljeni Ugovor o kreditu između Grada Zagreba i Kluba banaka kojeg čine</w:t>
      </w:r>
      <w:r w:rsidRPr="004F1269">
        <w:rPr>
          <w:rFonts w:cstheme="minorHAnsi"/>
          <w:b/>
        </w:rPr>
        <w:t xml:space="preserve">: </w:t>
      </w:r>
      <w:proofErr w:type="spellStart"/>
      <w:r w:rsidRPr="004F1269">
        <w:rPr>
          <w:rFonts w:cstheme="minorHAnsi"/>
        </w:rPr>
        <w:t>Erste&amp;Steiermärkische</w:t>
      </w:r>
      <w:proofErr w:type="spellEnd"/>
      <w:r w:rsidRPr="004F1269">
        <w:rPr>
          <w:rFonts w:cstheme="minorHAnsi"/>
        </w:rPr>
        <w:t xml:space="preserve"> Bank d.d. (Agent), OTP banka d.d., Zagrebačka banka d.d. i Privredna banka Zagreb d.d. u ukupnom iznosu od 287.840.000,00 kuna za financiranje investicijskih projekata i sanaciju objekata oštećenih u potresu u Gradu Zagrebu u 2020.</w:t>
      </w:r>
    </w:p>
    <w:p w:rsidR="0079684E" w:rsidRPr="004F1269" w:rsidRDefault="0079684E" w:rsidP="0079684E">
      <w:pPr>
        <w:pStyle w:val="ListParagraph"/>
        <w:ind w:left="1065"/>
        <w:jc w:val="both"/>
        <w:rPr>
          <w:rFonts w:cstheme="minorHAnsi"/>
          <w:b/>
        </w:rPr>
      </w:pPr>
    </w:p>
    <w:p w:rsidR="0079684E" w:rsidRPr="00731EFB" w:rsidRDefault="008602B0" w:rsidP="0079684E">
      <w:pPr>
        <w:autoSpaceDE w:val="0"/>
        <w:autoSpaceDN w:val="0"/>
        <w:adjustRightInd w:val="0"/>
        <w:jc w:val="both"/>
        <w:rPr>
          <w:rFonts w:cstheme="minorHAnsi"/>
          <w:b/>
        </w:rPr>
      </w:pPr>
      <w:r w:rsidRPr="00731EFB">
        <w:rPr>
          <w:rFonts w:cstheme="minorHAnsi"/>
          <w:b/>
        </w:rPr>
        <w:t xml:space="preserve">Bilješka br. 76 </w:t>
      </w:r>
      <w:r w:rsidR="0079684E" w:rsidRPr="00731EFB">
        <w:rPr>
          <w:rFonts w:cstheme="minorHAnsi"/>
          <w:b/>
        </w:rPr>
        <w:t>AOP 498</w:t>
      </w:r>
      <w:r w:rsidRPr="00731EFB">
        <w:rPr>
          <w:rFonts w:cstheme="minorHAnsi"/>
          <w:b/>
        </w:rPr>
        <w:t xml:space="preserve"> - </w:t>
      </w:r>
      <w:r w:rsidR="0079684E" w:rsidRPr="00731EFB">
        <w:rPr>
          <w:rFonts w:cstheme="minorHAnsi"/>
          <w:b/>
        </w:rPr>
        <w:t>Primljeni zajmovi iz državnog proračuna</w:t>
      </w:r>
      <w:r w:rsidR="0079684E" w:rsidRPr="00731EFB">
        <w:rPr>
          <w:rFonts w:cstheme="minorHAnsi"/>
        </w:rPr>
        <w:t xml:space="preserve"> </w:t>
      </w:r>
    </w:p>
    <w:p w:rsidR="0079684E" w:rsidRPr="004F1269" w:rsidRDefault="0079684E" w:rsidP="0079684E">
      <w:pPr>
        <w:autoSpaceDE w:val="0"/>
        <w:autoSpaceDN w:val="0"/>
        <w:adjustRightInd w:val="0"/>
        <w:jc w:val="both"/>
        <w:rPr>
          <w:rFonts w:cstheme="minorHAnsi"/>
        </w:rPr>
      </w:pPr>
      <w:r w:rsidRPr="004F1269">
        <w:rPr>
          <w:rFonts w:cstheme="minorHAnsi"/>
        </w:rPr>
        <w:t>Primljeni zajmovi iz državnog proračuna iznosili su 429.670.293,21 kuna.</w:t>
      </w:r>
    </w:p>
    <w:p w:rsidR="0079684E" w:rsidRPr="004F1269" w:rsidRDefault="0079684E" w:rsidP="0079684E">
      <w:pPr>
        <w:autoSpaceDE w:val="0"/>
        <w:autoSpaceDN w:val="0"/>
        <w:adjustRightInd w:val="0"/>
        <w:jc w:val="both"/>
        <w:rPr>
          <w:rFonts w:cstheme="minorHAnsi"/>
        </w:rPr>
      </w:pPr>
      <w:r w:rsidRPr="004F1269">
        <w:rPr>
          <w:rFonts w:cstheme="minorHAnsi"/>
        </w:rPr>
        <w:t>Sukladno Zakonu o izvršavanju Državnog proračuna za 2020. i Naputku o načinu isplate beskamatnog zajma jedinicama lokalne i područne (regionalne) samouprave, Hrvatskom zavodu za mirovinsko osiguranje i Hrvatskom zavodu za zdravstveno osiguranje (Narodne novine 46/20), Grad Zagreb je podnio zahtjev za isplatu beskamatnog zajma za premošćivanje situacije nastale zbog različit dinamike priljeva sredstava i dosp</w:t>
      </w:r>
      <w:r w:rsidR="00B430C1" w:rsidRPr="004F1269">
        <w:rPr>
          <w:rFonts w:cstheme="minorHAnsi"/>
        </w:rPr>
        <w:t>i</w:t>
      </w:r>
      <w:r w:rsidRPr="004F1269">
        <w:rPr>
          <w:rFonts w:cstheme="minorHAnsi"/>
        </w:rPr>
        <w:t>jeća obveza.</w:t>
      </w:r>
    </w:p>
    <w:p w:rsidR="0079684E" w:rsidRPr="004F1269" w:rsidRDefault="0079684E" w:rsidP="0079684E">
      <w:pPr>
        <w:autoSpaceDE w:val="0"/>
        <w:autoSpaceDN w:val="0"/>
        <w:adjustRightInd w:val="0"/>
        <w:jc w:val="both"/>
        <w:rPr>
          <w:rFonts w:cstheme="minorHAnsi"/>
        </w:rPr>
      </w:pPr>
      <w:r w:rsidRPr="004F1269">
        <w:rPr>
          <w:rFonts w:cstheme="minorHAnsi"/>
        </w:rPr>
        <w:t>Zajam za premošćivanje situacije zbog različite dinamike priljeva poreza na dohodak čije je plaćanje odgođeno i /ili je odobrena obročna otplata  evidentiran je u iznosu od  90.562.547,29 kuna.</w:t>
      </w:r>
    </w:p>
    <w:p w:rsidR="0079684E" w:rsidRPr="004F1269" w:rsidRDefault="0079684E" w:rsidP="0079684E">
      <w:pPr>
        <w:autoSpaceDE w:val="0"/>
        <w:autoSpaceDN w:val="0"/>
        <w:adjustRightInd w:val="0"/>
        <w:jc w:val="both"/>
        <w:rPr>
          <w:rFonts w:cstheme="minorHAnsi"/>
        </w:rPr>
      </w:pPr>
      <w:r w:rsidRPr="004F1269">
        <w:rPr>
          <w:rFonts w:cstheme="minorHAnsi"/>
        </w:rPr>
        <w:t>Zajam na ime povrata poreza na dohodak u visini izvršenog povrata poreza na dohodak i prireza porezu na dohodak temeljem godišnjeg obračuna, u 2020. godini iznosio je 302.807.746,62 kune.</w:t>
      </w:r>
    </w:p>
    <w:p w:rsidR="006D3002" w:rsidRDefault="0079684E" w:rsidP="00DE021B">
      <w:pPr>
        <w:autoSpaceDE w:val="0"/>
        <w:autoSpaceDN w:val="0"/>
        <w:adjustRightInd w:val="0"/>
        <w:jc w:val="both"/>
        <w:rPr>
          <w:rFonts w:cstheme="minorHAnsi"/>
        </w:rPr>
      </w:pPr>
      <w:r w:rsidRPr="004F1269">
        <w:rPr>
          <w:rFonts w:cstheme="minorHAnsi"/>
        </w:rPr>
        <w:t>Zajam prema Naputku o isplati sredstava beskamatnog zajma jedinicama lokalne i područne (regionalne) samouprave uslijed pada prihoda (Narodne novine 130/20) i</w:t>
      </w:r>
      <w:r w:rsidR="00DE021B">
        <w:rPr>
          <w:rFonts w:cstheme="minorHAnsi"/>
        </w:rPr>
        <w:t xml:space="preserve">znosio je 36.300.000,00 kuna.  </w:t>
      </w:r>
    </w:p>
    <w:p w:rsidR="00DE021B" w:rsidRDefault="00DE021B" w:rsidP="00DE021B">
      <w:pPr>
        <w:autoSpaceDE w:val="0"/>
        <w:autoSpaceDN w:val="0"/>
        <w:adjustRightInd w:val="0"/>
        <w:jc w:val="both"/>
        <w:rPr>
          <w:rFonts w:cstheme="minorHAnsi"/>
        </w:rPr>
      </w:pPr>
    </w:p>
    <w:p w:rsidR="00DE021B" w:rsidRPr="00DE021B" w:rsidRDefault="00DE021B" w:rsidP="00DE021B">
      <w:pPr>
        <w:autoSpaceDE w:val="0"/>
        <w:autoSpaceDN w:val="0"/>
        <w:adjustRightInd w:val="0"/>
        <w:jc w:val="both"/>
        <w:rPr>
          <w:rFonts w:cstheme="minorHAnsi"/>
        </w:rPr>
      </w:pPr>
    </w:p>
    <w:p w:rsidR="00C0267C" w:rsidRPr="002C7A08" w:rsidRDefault="00C0267C" w:rsidP="002C7A08">
      <w:pPr>
        <w:autoSpaceDE w:val="0"/>
        <w:autoSpaceDN w:val="0"/>
        <w:adjustRightInd w:val="0"/>
        <w:spacing w:afterLines="160" w:after="384" w:line="240" w:lineRule="auto"/>
        <w:jc w:val="both"/>
        <w:rPr>
          <w:rFonts w:cstheme="minorHAnsi"/>
          <w:b/>
        </w:rPr>
      </w:pPr>
      <w:r w:rsidRPr="00C0267C">
        <w:rPr>
          <w:rFonts w:cstheme="minorHAnsi"/>
          <w:b/>
        </w:rPr>
        <w:t xml:space="preserve">IZDACI ZA FINANCIJSKU IMOVINU I OTPLATE ZAJMOVA </w:t>
      </w:r>
    </w:p>
    <w:p w:rsidR="0079684E" w:rsidRDefault="0079684E" w:rsidP="0079684E">
      <w:pPr>
        <w:autoSpaceDE w:val="0"/>
        <w:spacing w:after="0"/>
        <w:jc w:val="both"/>
        <w:rPr>
          <w:rFonts w:cs="Calibri"/>
        </w:rPr>
      </w:pPr>
      <w:r>
        <w:rPr>
          <w:rFonts w:cs="Calibri"/>
        </w:rPr>
        <w:t xml:space="preserve">Tablica </w:t>
      </w:r>
      <w:r w:rsidR="008602B0">
        <w:rPr>
          <w:rFonts w:cs="Calibri"/>
        </w:rPr>
        <w:t>6</w:t>
      </w:r>
      <w:r>
        <w:rPr>
          <w:rFonts w:cs="Calibri"/>
        </w:rPr>
        <w:t>: Izdaci za financijsku imovinu i otplate zajmova</w:t>
      </w:r>
    </w:p>
    <w:p w:rsidR="0079684E" w:rsidRDefault="0079684E" w:rsidP="0079684E">
      <w:pPr>
        <w:autoSpaceDE w:val="0"/>
        <w:spacing w:after="0"/>
        <w:jc w:val="both"/>
        <w:rPr>
          <w:rFonts w:cs="Calibri"/>
          <w:color w:val="FF0000"/>
        </w:rPr>
      </w:pPr>
    </w:p>
    <w:tbl>
      <w:tblPr>
        <w:tblW w:w="8012" w:type="dxa"/>
        <w:jc w:val="center"/>
        <w:tblCellMar>
          <w:left w:w="10" w:type="dxa"/>
          <w:right w:w="10" w:type="dxa"/>
        </w:tblCellMar>
        <w:tblLook w:val="0000" w:firstRow="0" w:lastRow="0" w:firstColumn="0" w:lastColumn="0" w:noHBand="0" w:noVBand="0"/>
      </w:tblPr>
      <w:tblGrid>
        <w:gridCol w:w="651"/>
        <w:gridCol w:w="3030"/>
        <w:gridCol w:w="533"/>
        <w:gridCol w:w="1533"/>
        <w:gridCol w:w="1565"/>
        <w:gridCol w:w="700"/>
      </w:tblGrid>
      <w:tr w:rsidR="0079684E" w:rsidTr="0079684E">
        <w:trPr>
          <w:trHeight w:val="416"/>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6"/>
                <w:szCs w:val="16"/>
              </w:rPr>
            </w:pPr>
            <w:r>
              <w:rPr>
                <w:rFonts w:cs="Calibri"/>
                <w:sz w:val="16"/>
                <w:szCs w:val="16"/>
              </w:rPr>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OPIS</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AOP</w:t>
            </w:r>
          </w:p>
        </w:tc>
        <w:tc>
          <w:tcPr>
            <w:tcW w:w="153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Ostvareno prethodne godine</w:t>
            </w:r>
          </w:p>
        </w:tc>
        <w:tc>
          <w:tcPr>
            <w:tcW w:w="15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Ostvareno u tekućem razdoblju</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79684E" w:rsidRDefault="0079684E" w:rsidP="0079684E">
            <w:pPr>
              <w:autoSpaceDE w:val="0"/>
              <w:spacing w:after="0"/>
              <w:jc w:val="center"/>
              <w:rPr>
                <w:rFonts w:cs="Calibri"/>
                <w:sz w:val="16"/>
                <w:szCs w:val="16"/>
              </w:rPr>
            </w:pPr>
            <w:r>
              <w:rPr>
                <w:rFonts w:cs="Calibri"/>
                <w:sz w:val="16"/>
                <w:szCs w:val="16"/>
              </w:rPr>
              <w:t>INDEKS</w:t>
            </w:r>
          </w:p>
        </w:tc>
      </w:tr>
      <w:tr w:rsidR="0079684E" w:rsidTr="0079684E">
        <w:trPr>
          <w:trHeight w:val="21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2</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79684E" w:rsidRDefault="0079684E" w:rsidP="0079684E">
            <w:pPr>
              <w:autoSpaceDE w:val="0"/>
              <w:spacing w:after="0"/>
              <w:jc w:val="center"/>
              <w:rPr>
                <w:rFonts w:cs="Calibri"/>
                <w:sz w:val="18"/>
                <w:szCs w:val="18"/>
              </w:rPr>
            </w:pPr>
            <w:r>
              <w:rPr>
                <w:rFonts w:cs="Calibri"/>
                <w:sz w:val="18"/>
                <w:szCs w:val="18"/>
              </w:rPr>
              <w:t>6</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IZDACI ZA FINANCIJSKU IMOVINU I OTPLATE ZAJMOVA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518</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550.943.324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682.262.408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124</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IZDACI ZA DANE ZAJMOVE I DEPOZITE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519</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0</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53</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IZDACI ZA DIONICE I UDJELI U GLAVNICI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570</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40.800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54</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IZDACI ZA OTPLATU GLAVNICE PRIMLJENIH KREDITA I ZAJMOVA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583</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550.902.524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682.262.408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124</w:t>
            </w:r>
          </w:p>
        </w:tc>
      </w:tr>
      <w:tr w:rsidR="0079684E" w:rsidTr="0079684E">
        <w:trPr>
          <w:trHeight w:val="54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lastRenderedPageBreak/>
              <w:t>543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Otplata glavnice primljenih zajmova od trgovačkih društava u javnom sektoru</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593</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0</w:t>
            </w:r>
          </w:p>
        </w:tc>
      </w:tr>
      <w:tr w:rsidR="0079684E" w:rsidTr="0079684E">
        <w:trPr>
          <w:trHeight w:val="54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544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Otplata glavnice primljenih kredita i zajmova od kreditnih i ostalih financijskih institucija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595</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541.189.007</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671.867.475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124</w:t>
            </w:r>
          </w:p>
        </w:tc>
      </w:tr>
      <w:tr w:rsidR="0079684E" w:rsidTr="0079684E">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545</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Otplata glavnice primljenih zajmova od trgovačkih društava i obrtnika izvan JS</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both"/>
              <w:rPr>
                <w:rFonts w:cs="Calibri"/>
                <w:sz w:val="18"/>
                <w:szCs w:val="18"/>
              </w:rPr>
            </w:pPr>
            <w:r>
              <w:rPr>
                <w:rFonts w:cs="Calibri"/>
                <w:sz w:val="18"/>
                <w:szCs w:val="18"/>
              </w:rPr>
              <w:t>602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9.713.517</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10.394.933</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9684E" w:rsidRDefault="0079684E" w:rsidP="0079684E">
            <w:pPr>
              <w:autoSpaceDE w:val="0"/>
              <w:spacing w:after="0"/>
              <w:jc w:val="center"/>
              <w:rPr>
                <w:rFonts w:cs="Calibri"/>
                <w:sz w:val="18"/>
                <w:szCs w:val="18"/>
              </w:rPr>
            </w:pPr>
            <w:r>
              <w:rPr>
                <w:rFonts w:cs="Calibri"/>
                <w:sz w:val="18"/>
                <w:szCs w:val="18"/>
              </w:rPr>
              <w:t>107</w:t>
            </w:r>
          </w:p>
        </w:tc>
      </w:tr>
    </w:tbl>
    <w:p w:rsidR="0079684E" w:rsidRDefault="0079684E" w:rsidP="0079684E">
      <w:pPr>
        <w:spacing w:after="0" w:line="242" w:lineRule="auto"/>
      </w:pPr>
    </w:p>
    <w:p w:rsidR="008602B0" w:rsidRDefault="008602B0" w:rsidP="0079684E">
      <w:pPr>
        <w:autoSpaceDE w:val="0"/>
        <w:spacing w:after="0"/>
        <w:jc w:val="both"/>
        <w:rPr>
          <w:rFonts w:cs="Calibri"/>
          <w:b/>
        </w:rPr>
      </w:pPr>
    </w:p>
    <w:p w:rsidR="0079684E" w:rsidRDefault="0079684E" w:rsidP="0079684E">
      <w:pPr>
        <w:autoSpaceDE w:val="0"/>
        <w:spacing w:after="0"/>
        <w:jc w:val="both"/>
      </w:pPr>
      <w:r>
        <w:rPr>
          <w:rFonts w:cs="Calibri"/>
          <w:b/>
        </w:rPr>
        <w:t>Bilješka br.7</w:t>
      </w:r>
      <w:r w:rsidR="008602B0">
        <w:rPr>
          <w:rFonts w:cs="Calibri"/>
          <w:b/>
        </w:rPr>
        <w:t>7</w:t>
      </w:r>
      <w:r>
        <w:rPr>
          <w:rFonts w:cs="Calibri"/>
        </w:rPr>
        <w:t xml:space="preserve"> – </w:t>
      </w:r>
      <w:r>
        <w:rPr>
          <w:rFonts w:cs="Calibri"/>
          <w:b/>
        </w:rPr>
        <w:t>AOP 583 Izdaci za otplatu glavnice primljenih kredita i zajmova</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rPr>
      </w:pPr>
      <w:r>
        <w:rPr>
          <w:rFonts w:cs="Calibri"/>
        </w:rPr>
        <w:t>Izdaci za otplatu glavnice primljenih kredita i zajmova iznose 682.262.408 kn i odnose se na otplatu slijedećih  kredita i zajmova:</w:t>
      </w:r>
    </w:p>
    <w:p w:rsidR="0079684E" w:rsidRDefault="0079684E" w:rsidP="0079684E">
      <w:pPr>
        <w:pStyle w:val="ListParagraph"/>
        <w:numPr>
          <w:ilvl w:val="0"/>
          <w:numId w:val="21"/>
        </w:numPr>
        <w:autoSpaceDE w:val="0"/>
        <w:autoSpaceDN w:val="0"/>
        <w:spacing w:after="0" w:line="240" w:lineRule="auto"/>
        <w:contextualSpacing w:val="0"/>
        <w:jc w:val="both"/>
        <w:rPr>
          <w:rFonts w:cs="Calibri"/>
        </w:rPr>
      </w:pPr>
      <w:r>
        <w:rPr>
          <w:rFonts w:cs="Calibri"/>
        </w:rPr>
        <w:t>Otkup potraživanja ZOV – 264.682.680 kn,</w:t>
      </w:r>
    </w:p>
    <w:p w:rsidR="0079684E" w:rsidRDefault="0079684E" w:rsidP="0079684E">
      <w:pPr>
        <w:pStyle w:val="ListParagraph"/>
        <w:numPr>
          <w:ilvl w:val="0"/>
          <w:numId w:val="21"/>
        </w:numPr>
        <w:autoSpaceDE w:val="0"/>
        <w:autoSpaceDN w:val="0"/>
        <w:spacing w:after="0" w:line="240" w:lineRule="auto"/>
        <w:contextualSpacing w:val="0"/>
        <w:jc w:val="both"/>
        <w:rPr>
          <w:rFonts w:cs="Calibri"/>
        </w:rPr>
      </w:pPr>
      <w:r>
        <w:rPr>
          <w:rFonts w:cs="Calibri"/>
        </w:rPr>
        <w:t>Otkup potraživanja ZET – 27.818.663 kn,</w:t>
      </w:r>
    </w:p>
    <w:p w:rsidR="0079684E" w:rsidRDefault="0079684E" w:rsidP="0079684E">
      <w:pPr>
        <w:pStyle w:val="ListParagraph"/>
        <w:numPr>
          <w:ilvl w:val="0"/>
          <w:numId w:val="21"/>
        </w:numPr>
        <w:autoSpaceDE w:val="0"/>
        <w:autoSpaceDN w:val="0"/>
        <w:spacing w:after="0" w:line="240" w:lineRule="auto"/>
        <w:contextualSpacing w:val="0"/>
        <w:jc w:val="both"/>
        <w:rPr>
          <w:rFonts w:cs="Calibri"/>
        </w:rPr>
      </w:pPr>
      <w:r>
        <w:rPr>
          <w:rFonts w:cs="Calibri"/>
        </w:rPr>
        <w:t>Kupnju Gredelja – 67.344.020 kn,</w:t>
      </w:r>
    </w:p>
    <w:p w:rsidR="0079684E" w:rsidRDefault="0079684E" w:rsidP="0079684E">
      <w:pPr>
        <w:pStyle w:val="ListParagraph"/>
        <w:numPr>
          <w:ilvl w:val="0"/>
          <w:numId w:val="21"/>
        </w:numPr>
        <w:autoSpaceDE w:val="0"/>
        <w:autoSpaceDN w:val="0"/>
        <w:spacing w:after="0" w:line="240" w:lineRule="auto"/>
        <w:contextualSpacing w:val="0"/>
        <w:jc w:val="both"/>
        <w:rPr>
          <w:rFonts w:cs="Calibri"/>
        </w:rPr>
      </w:pPr>
      <w:r>
        <w:rPr>
          <w:rFonts w:cs="Calibri"/>
        </w:rPr>
        <w:t>Kupnju Zagrepčanke – 37.235.450 kn,</w:t>
      </w:r>
    </w:p>
    <w:p w:rsidR="0079684E" w:rsidRDefault="0079684E" w:rsidP="0079684E">
      <w:pPr>
        <w:pStyle w:val="ListParagraph"/>
        <w:numPr>
          <w:ilvl w:val="0"/>
          <w:numId w:val="21"/>
        </w:numPr>
        <w:autoSpaceDE w:val="0"/>
        <w:autoSpaceDN w:val="0"/>
        <w:spacing w:after="0" w:line="240" w:lineRule="auto"/>
        <w:contextualSpacing w:val="0"/>
        <w:jc w:val="both"/>
        <w:rPr>
          <w:rFonts w:cs="Calibri"/>
        </w:rPr>
      </w:pPr>
      <w:r>
        <w:rPr>
          <w:rFonts w:cs="Calibri"/>
        </w:rPr>
        <w:t xml:space="preserve">Kupnja Doma za stare i nemoćne </w:t>
      </w:r>
      <w:proofErr w:type="spellStart"/>
      <w:r>
        <w:rPr>
          <w:rFonts w:cs="Calibri"/>
        </w:rPr>
        <w:t>Lašćina</w:t>
      </w:r>
      <w:proofErr w:type="spellEnd"/>
      <w:r>
        <w:rPr>
          <w:rFonts w:cs="Calibri"/>
        </w:rPr>
        <w:t xml:space="preserve"> – 10.394.933 kn,</w:t>
      </w:r>
    </w:p>
    <w:p w:rsidR="0079684E" w:rsidRDefault="0079684E" w:rsidP="0079684E">
      <w:pPr>
        <w:pStyle w:val="ListParagraph"/>
        <w:numPr>
          <w:ilvl w:val="0"/>
          <w:numId w:val="21"/>
        </w:numPr>
        <w:suppressAutoHyphens/>
        <w:autoSpaceDN w:val="0"/>
        <w:spacing w:after="0" w:line="242" w:lineRule="auto"/>
        <w:contextualSpacing w:val="0"/>
        <w:textAlignment w:val="baseline"/>
      </w:pPr>
      <w:r>
        <w:rPr>
          <w:rFonts w:cs="Calibri"/>
        </w:rPr>
        <w:t>Otplatu kredita -274.786.662 kn.</w:t>
      </w:r>
    </w:p>
    <w:p w:rsidR="00FA5DD5" w:rsidRDefault="00FA5DD5" w:rsidP="005E4779">
      <w:pPr>
        <w:autoSpaceDE w:val="0"/>
        <w:autoSpaceDN w:val="0"/>
        <w:adjustRightInd w:val="0"/>
        <w:spacing w:after="0" w:line="240" w:lineRule="auto"/>
        <w:jc w:val="both"/>
        <w:rPr>
          <w:rFonts w:cstheme="minorHAnsi"/>
          <w:color w:val="FF0000"/>
        </w:rPr>
      </w:pPr>
    </w:p>
    <w:p w:rsidR="00E0147F" w:rsidRPr="00C41C9A" w:rsidRDefault="00E0147F" w:rsidP="00E0147F">
      <w:pPr>
        <w:autoSpaceDE w:val="0"/>
        <w:autoSpaceDN w:val="0"/>
        <w:adjustRightInd w:val="0"/>
        <w:spacing w:after="0" w:line="240" w:lineRule="auto"/>
        <w:jc w:val="both"/>
        <w:rPr>
          <w:rFonts w:cstheme="minorHAnsi"/>
          <w:b/>
        </w:rPr>
      </w:pPr>
      <w:r w:rsidRPr="00C41C9A">
        <w:rPr>
          <w:rFonts w:cstheme="minorHAnsi"/>
          <w:b/>
        </w:rPr>
        <w:t>Bilješka br.7</w:t>
      </w:r>
      <w:r w:rsidR="00345821">
        <w:rPr>
          <w:rFonts w:cstheme="minorHAnsi"/>
          <w:b/>
        </w:rPr>
        <w:t>8</w:t>
      </w:r>
      <w:r w:rsidRPr="00C41C9A">
        <w:rPr>
          <w:rFonts w:cstheme="minorHAnsi"/>
          <w:b/>
        </w:rPr>
        <w:t xml:space="preserve"> – AOP 636 Manjak prihoda i primitaka za pokriće u slijedećem razdoblju</w:t>
      </w:r>
    </w:p>
    <w:p w:rsidR="00E0147F" w:rsidRPr="00C41C9A" w:rsidRDefault="00E0147F" w:rsidP="00E0147F">
      <w:pPr>
        <w:autoSpaceDE w:val="0"/>
        <w:autoSpaceDN w:val="0"/>
        <w:adjustRightInd w:val="0"/>
        <w:spacing w:after="0" w:line="240" w:lineRule="auto"/>
        <w:jc w:val="both"/>
        <w:rPr>
          <w:rFonts w:cstheme="minorHAnsi"/>
          <w:b/>
        </w:rPr>
      </w:pPr>
      <w:bookmarkStart w:id="1" w:name="_Hlk954498"/>
    </w:p>
    <w:p w:rsidR="00E0147F" w:rsidRPr="00610759" w:rsidRDefault="00E0147F" w:rsidP="00E0147F">
      <w:pPr>
        <w:autoSpaceDE w:val="0"/>
        <w:autoSpaceDN w:val="0"/>
        <w:adjustRightInd w:val="0"/>
        <w:spacing w:after="0" w:line="240" w:lineRule="auto"/>
        <w:jc w:val="both"/>
        <w:rPr>
          <w:rFonts w:cstheme="minorHAnsi"/>
        </w:rPr>
      </w:pPr>
      <w:r>
        <w:rPr>
          <w:rFonts w:cstheme="minorHAnsi"/>
        </w:rPr>
        <w:t>U</w:t>
      </w:r>
      <w:r w:rsidRPr="00610759">
        <w:rPr>
          <w:rFonts w:cstheme="minorHAnsi"/>
        </w:rPr>
        <w:t xml:space="preserve">kupan manjak prihoda za pokriće u slijedećem razdoblju utvrđen je u iznosu od </w:t>
      </w:r>
      <w:r w:rsidR="00345821">
        <w:rPr>
          <w:rFonts w:cstheme="minorHAnsi"/>
        </w:rPr>
        <w:t>917.598.026</w:t>
      </w:r>
      <w:r w:rsidRPr="00610759">
        <w:rPr>
          <w:rFonts w:cstheme="minorHAnsi"/>
        </w:rPr>
        <w:t xml:space="preserve"> kn i sastoji se od:</w:t>
      </w:r>
    </w:p>
    <w:p w:rsidR="00E0147F" w:rsidRPr="00610759" w:rsidRDefault="0097236E" w:rsidP="00E0147F">
      <w:pPr>
        <w:pStyle w:val="ListParagraph"/>
        <w:numPr>
          <w:ilvl w:val="0"/>
          <w:numId w:val="6"/>
        </w:numPr>
        <w:autoSpaceDE w:val="0"/>
        <w:autoSpaceDN w:val="0"/>
        <w:adjustRightInd w:val="0"/>
        <w:spacing w:after="0" w:line="240" w:lineRule="auto"/>
        <w:jc w:val="both"/>
        <w:rPr>
          <w:rFonts w:cstheme="minorHAnsi"/>
        </w:rPr>
      </w:pPr>
      <w:r>
        <w:rPr>
          <w:rFonts w:cstheme="minorHAnsi"/>
        </w:rPr>
        <w:t>Viška</w:t>
      </w:r>
      <w:r w:rsidR="00E0147F" w:rsidRPr="00610759">
        <w:rPr>
          <w:rFonts w:cstheme="minorHAnsi"/>
        </w:rPr>
        <w:t xml:space="preserve"> prihoda poslovanja (AOP 282) – </w:t>
      </w:r>
      <w:r w:rsidR="00345821">
        <w:rPr>
          <w:rFonts w:cstheme="minorHAnsi"/>
        </w:rPr>
        <w:t>28.726.880</w:t>
      </w:r>
      <w:r w:rsidR="00E0147F" w:rsidRPr="00610759">
        <w:rPr>
          <w:rFonts w:cstheme="minorHAnsi"/>
        </w:rPr>
        <w:t xml:space="preserve"> kn,</w:t>
      </w:r>
    </w:p>
    <w:p w:rsidR="00E0147F" w:rsidRPr="00610759" w:rsidRDefault="00E0147F" w:rsidP="00E0147F">
      <w:pPr>
        <w:pStyle w:val="ListParagraph"/>
        <w:numPr>
          <w:ilvl w:val="0"/>
          <w:numId w:val="6"/>
        </w:numPr>
        <w:autoSpaceDE w:val="0"/>
        <w:autoSpaceDN w:val="0"/>
        <w:adjustRightInd w:val="0"/>
        <w:spacing w:after="0" w:line="240" w:lineRule="auto"/>
        <w:jc w:val="both"/>
        <w:rPr>
          <w:rFonts w:cstheme="minorHAnsi"/>
        </w:rPr>
      </w:pPr>
      <w:r w:rsidRPr="00610759">
        <w:rPr>
          <w:rFonts w:cstheme="minorHAnsi"/>
        </w:rPr>
        <w:t xml:space="preserve">Manjka prihoda od nefinancijske imovine (AOP 399) – </w:t>
      </w:r>
      <w:r w:rsidR="00345821">
        <w:rPr>
          <w:rFonts w:cstheme="minorHAnsi"/>
        </w:rPr>
        <w:t>559.890.078</w:t>
      </w:r>
      <w:r w:rsidRPr="00610759">
        <w:rPr>
          <w:rFonts w:cstheme="minorHAnsi"/>
        </w:rPr>
        <w:t xml:space="preserve"> kn,</w:t>
      </w:r>
    </w:p>
    <w:p w:rsidR="00E0147F" w:rsidRPr="00610759" w:rsidRDefault="00E0147F" w:rsidP="00E0147F">
      <w:pPr>
        <w:pStyle w:val="ListParagraph"/>
        <w:numPr>
          <w:ilvl w:val="0"/>
          <w:numId w:val="6"/>
        </w:numPr>
        <w:autoSpaceDE w:val="0"/>
        <w:autoSpaceDN w:val="0"/>
        <w:adjustRightInd w:val="0"/>
        <w:spacing w:line="240" w:lineRule="auto"/>
        <w:jc w:val="both"/>
        <w:rPr>
          <w:rFonts w:cstheme="minorHAnsi"/>
        </w:rPr>
      </w:pPr>
      <w:r w:rsidRPr="00610759">
        <w:rPr>
          <w:rFonts w:cstheme="minorHAnsi"/>
        </w:rPr>
        <w:t xml:space="preserve">Viška primitaka od financijske imovine (AOP 625) – </w:t>
      </w:r>
      <w:r w:rsidR="00345821">
        <w:rPr>
          <w:rFonts w:cstheme="minorHAnsi"/>
        </w:rPr>
        <w:t>654.284.915</w:t>
      </w:r>
      <w:r>
        <w:rPr>
          <w:rFonts w:cstheme="minorHAnsi"/>
        </w:rPr>
        <w:t xml:space="preserve"> kn</w:t>
      </w:r>
      <w:r w:rsidRPr="00610759">
        <w:rPr>
          <w:rFonts w:cstheme="minorHAnsi"/>
        </w:rPr>
        <w:t>,</w:t>
      </w:r>
    </w:p>
    <w:p w:rsidR="00E0147F" w:rsidRDefault="00E0147F" w:rsidP="00E0147F">
      <w:pPr>
        <w:pStyle w:val="ListParagraph"/>
        <w:numPr>
          <w:ilvl w:val="0"/>
          <w:numId w:val="6"/>
        </w:numPr>
        <w:autoSpaceDE w:val="0"/>
        <w:autoSpaceDN w:val="0"/>
        <w:adjustRightInd w:val="0"/>
        <w:spacing w:line="240" w:lineRule="auto"/>
        <w:jc w:val="both"/>
        <w:rPr>
          <w:rFonts w:cstheme="minorHAnsi"/>
        </w:rPr>
      </w:pPr>
      <w:r w:rsidRPr="00610759">
        <w:rPr>
          <w:rFonts w:cstheme="minorHAnsi"/>
        </w:rPr>
        <w:t xml:space="preserve">Manjak prihoda preneseni (AOP 634) – </w:t>
      </w:r>
      <w:r w:rsidR="00345821">
        <w:rPr>
          <w:rFonts w:cstheme="minorHAnsi"/>
        </w:rPr>
        <w:t>1.040.719.743</w:t>
      </w:r>
      <w:r w:rsidRPr="00610759">
        <w:rPr>
          <w:rFonts w:cstheme="minorHAnsi"/>
        </w:rPr>
        <w:t xml:space="preserve"> kn.</w:t>
      </w:r>
      <w:bookmarkEnd w:id="1"/>
    </w:p>
    <w:p w:rsidR="00BE5F8A" w:rsidRPr="00F318A5" w:rsidRDefault="00BE5F8A" w:rsidP="00E0147F">
      <w:pPr>
        <w:pStyle w:val="ListParagraph"/>
        <w:numPr>
          <w:ilvl w:val="0"/>
          <w:numId w:val="6"/>
        </w:numPr>
        <w:autoSpaceDE w:val="0"/>
        <w:autoSpaceDN w:val="0"/>
        <w:adjustRightInd w:val="0"/>
        <w:spacing w:line="240" w:lineRule="auto"/>
        <w:jc w:val="both"/>
        <w:rPr>
          <w:rFonts w:cstheme="minorHAnsi"/>
        </w:rPr>
      </w:pPr>
    </w:p>
    <w:p w:rsidR="00E0147F" w:rsidRPr="001D4079" w:rsidRDefault="00E0147F" w:rsidP="00E0147F">
      <w:pPr>
        <w:autoSpaceDE w:val="0"/>
        <w:autoSpaceDN w:val="0"/>
        <w:adjustRightInd w:val="0"/>
        <w:spacing w:after="0" w:line="240" w:lineRule="auto"/>
        <w:jc w:val="both"/>
        <w:rPr>
          <w:rFonts w:cstheme="minorHAnsi"/>
        </w:rPr>
      </w:pPr>
      <w:bookmarkStart w:id="2" w:name="_Hlk947796"/>
      <w:r>
        <w:rPr>
          <w:rFonts w:cstheme="minorHAnsi"/>
          <w:b/>
        </w:rPr>
        <w:t>Bilješka br.7</w:t>
      </w:r>
      <w:r w:rsidR="00345821">
        <w:rPr>
          <w:rFonts w:cstheme="minorHAnsi"/>
          <w:b/>
        </w:rPr>
        <w:t>9</w:t>
      </w:r>
      <w:r>
        <w:rPr>
          <w:rFonts w:cstheme="minorHAnsi"/>
          <w:b/>
        </w:rPr>
        <w:t xml:space="preserve"> – </w:t>
      </w:r>
      <w:r w:rsidRPr="00C41C9A">
        <w:rPr>
          <w:rFonts w:cstheme="minorHAnsi"/>
          <w:b/>
        </w:rPr>
        <w:t>AOP 641 Stanje novčanih sredstava na kraju izvještajnog razdoblja</w:t>
      </w:r>
    </w:p>
    <w:p w:rsidR="00E0147F" w:rsidRDefault="00E0147F" w:rsidP="00E0147F">
      <w:pPr>
        <w:autoSpaceDE w:val="0"/>
        <w:autoSpaceDN w:val="0"/>
        <w:adjustRightInd w:val="0"/>
        <w:spacing w:after="0" w:line="240" w:lineRule="auto"/>
        <w:rPr>
          <w:rFonts w:cstheme="minorHAnsi"/>
        </w:rPr>
      </w:pPr>
    </w:p>
    <w:p w:rsidR="00E0147F" w:rsidRPr="00C91165" w:rsidRDefault="00E0147F" w:rsidP="00E0147F">
      <w:pPr>
        <w:autoSpaceDE w:val="0"/>
        <w:autoSpaceDN w:val="0"/>
        <w:adjustRightInd w:val="0"/>
        <w:spacing w:after="0" w:line="240" w:lineRule="auto"/>
        <w:rPr>
          <w:rFonts w:cstheme="minorHAnsi"/>
        </w:rPr>
      </w:pPr>
      <w:r w:rsidRPr="00C91165">
        <w:rPr>
          <w:rFonts w:cstheme="minorHAnsi"/>
        </w:rPr>
        <w:t>Na kraju izvještajnog razdoblja ukupno stanje na ra</w:t>
      </w:r>
      <w:r>
        <w:rPr>
          <w:rFonts w:cstheme="minorHAnsi"/>
        </w:rPr>
        <w:t>č</w:t>
      </w:r>
      <w:r w:rsidRPr="00C91165">
        <w:rPr>
          <w:rFonts w:cstheme="minorHAnsi"/>
        </w:rPr>
        <w:t xml:space="preserve">unima i u blagajnama iznosi </w:t>
      </w:r>
      <w:r w:rsidR="004600CC">
        <w:rPr>
          <w:rFonts w:cstheme="minorHAnsi"/>
        </w:rPr>
        <w:t>64.969.462</w:t>
      </w:r>
      <w:r w:rsidRPr="00C91165">
        <w:rPr>
          <w:rFonts w:cstheme="minorHAnsi"/>
        </w:rPr>
        <w:t xml:space="preserve"> kn i</w:t>
      </w:r>
    </w:p>
    <w:p w:rsidR="00E0147F" w:rsidRDefault="00E0147F" w:rsidP="00E0147F">
      <w:pPr>
        <w:autoSpaceDE w:val="0"/>
        <w:autoSpaceDN w:val="0"/>
        <w:adjustRightInd w:val="0"/>
        <w:spacing w:after="0" w:line="240" w:lineRule="auto"/>
        <w:jc w:val="both"/>
        <w:rPr>
          <w:rFonts w:cstheme="minorHAnsi"/>
        </w:rPr>
      </w:pPr>
      <w:r w:rsidRPr="00C91165">
        <w:rPr>
          <w:rFonts w:cstheme="minorHAnsi"/>
        </w:rPr>
        <w:t>sastoji se od stanja na slijede</w:t>
      </w:r>
      <w:r>
        <w:rPr>
          <w:rFonts w:cstheme="minorHAnsi"/>
        </w:rPr>
        <w:t>ć</w:t>
      </w:r>
      <w:r w:rsidRPr="00C91165">
        <w:rPr>
          <w:rFonts w:cstheme="minorHAnsi"/>
        </w:rPr>
        <w:t>im ra</w:t>
      </w:r>
      <w:r>
        <w:rPr>
          <w:rFonts w:cstheme="minorHAnsi"/>
        </w:rPr>
        <w:t>č</w:t>
      </w:r>
      <w:r w:rsidRPr="00C91165">
        <w:rPr>
          <w:rFonts w:cstheme="minorHAnsi"/>
        </w:rPr>
        <w:t>unima:</w:t>
      </w:r>
    </w:p>
    <w:p w:rsidR="00E0147F" w:rsidRDefault="00E0147F" w:rsidP="00E0147F">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Redovni račun </w:t>
      </w:r>
      <w:r w:rsidR="00A57962">
        <w:rPr>
          <w:rFonts w:cstheme="minorHAnsi"/>
        </w:rPr>
        <w:t>22.212.112</w:t>
      </w:r>
      <w:r>
        <w:rPr>
          <w:rFonts w:cstheme="minorHAnsi"/>
        </w:rPr>
        <w:t xml:space="preserve"> kn,</w:t>
      </w:r>
    </w:p>
    <w:p w:rsidR="00A57962" w:rsidRDefault="00A57962" w:rsidP="00E0147F">
      <w:pPr>
        <w:pStyle w:val="ListParagraph"/>
        <w:numPr>
          <w:ilvl w:val="0"/>
          <w:numId w:val="6"/>
        </w:numPr>
        <w:autoSpaceDE w:val="0"/>
        <w:autoSpaceDN w:val="0"/>
        <w:adjustRightInd w:val="0"/>
        <w:spacing w:after="0" w:line="240" w:lineRule="auto"/>
        <w:jc w:val="both"/>
        <w:rPr>
          <w:rFonts w:cstheme="minorHAnsi"/>
        </w:rPr>
      </w:pPr>
      <w:r>
        <w:rPr>
          <w:rFonts w:cstheme="minorHAnsi"/>
        </w:rPr>
        <w:t>Račun za saniranje posljedica potresa 13.479.454 kn,</w:t>
      </w:r>
    </w:p>
    <w:p w:rsidR="00A57962" w:rsidRDefault="00A57962" w:rsidP="00E0147F">
      <w:pPr>
        <w:pStyle w:val="ListParagraph"/>
        <w:numPr>
          <w:ilvl w:val="0"/>
          <w:numId w:val="6"/>
        </w:numPr>
        <w:autoSpaceDE w:val="0"/>
        <w:autoSpaceDN w:val="0"/>
        <w:adjustRightInd w:val="0"/>
        <w:spacing w:after="0" w:line="240" w:lineRule="auto"/>
        <w:jc w:val="both"/>
        <w:rPr>
          <w:rFonts w:cstheme="minorHAnsi"/>
        </w:rPr>
      </w:pPr>
      <w:r>
        <w:rPr>
          <w:rFonts w:cstheme="minorHAnsi"/>
        </w:rPr>
        <w:t>Račun za COVID 19 69.120 kn,</w:t>
      </w:r>
    </w:p>
    <w:p w:rsidR="00A57962" w:rsidRDefault="00A57962" w:rsidP="00E0147F">
      <w:pPr>
        <w:pStyle w:val="ListParagraph"/>
        <w:numPr>
          <w:ilvl w:val="0"/>
          <w:numId w:val="6"/>
        </w:numPr>
        <w:autoSpaceDE w:val="0"/>
        <w:autoSpaceDN w:val="0"/>
        <w:adjustRightInd w:val="0"/>
        <w:spacing w:after="0" w:line="240" w:lineRule="auto"/>
        <w:jc w:val="both"/>
        <w:rPr>
          <w:rFonts w:cstheme="minorHAnsi"/>
        </w:rPr>
      </w:pPr>
      <w:r>
        <w:rPr>
          <w:rFonts w:cstheme="minorHAnsi"/>
        </w:rPr>
        <w:t>Novac na deviznom računu 524.708 kn</w:t>
      </w:r>
    </w:p>
    <w:p w:rsidR="00E0147F" w:rsidRDefault="00A57962" w:rsidP="00A57962">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Novac na deviznom računu za saniranje posljedica potresa </w:t>
      </w:r>
      <w:r w:rsidR="00E0147F">
        <w:rPr>
          <w:rFonts w:cstheme="minorHAnsi"/>
        </w:rPr>
        <w:t xml:space="preserve"> </w:t>
      </w:r>
      <w:r>
        <w:rPr>
          <w:rFonts w:cstheme="minorHAnsi"/>
        </w:rPr>
        <w:t>1.539.392</w:t>
      </w:r>
      <w:r w:rsidR="00E0147F" w:rsidRPr="00A57962">
        <w:rPr>
          <w:rFonts w:cstheme="minorHAnsi"/>
        </w:rPr>
        <w:t xml:space="preserve"> kn,</w:t>
      </w:r>
    </w:p>
    <w:p w:rsidR="00A57962" w:rsidRPr="00A57962" w:rsidRDefault="00A57962" w:rsidP="00A57962">
      <w:pPr>
        <w:pStyle w:val="ListParagraph"/>
        <w:numPr>
          <w:ilvl w:val="0"/>
          <w:numId w:val="6"/>
        </w:numPr>
        <w:autoSpaceDE w:val="0"/>
        <w:autoSpaceDN w:val="0"/>
        <w:adjustRightInd w:val="0"/>
        <w:spacing w:after="0" w:line="240" w:lineRule="auto"/>
        <w:jc w:val="both"/>
        <w:rPr>
          <w:rFonts w:cstheme="minorHAnsi"/>
        </w:rPr>
      </w:pPr>
      <w:r>
        <w:rPr>
          <w:rFonts w:cstheme="minorHAnsi"/>
        </w:rPr>
        <w:t>Novac na računu kod inozemnih banaka 7.735 kn,</w:t>
      </w:r>
    </w:p>
    <w:p w:rsidR="00E0147F" w:rsidRPr="00C91165" w:rsidRDefault="00E0147F" w:rsidP="00E0147F">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Novac na izdvojenim računima </w:t>
      </w:r>
      <w:r w:rsidR="00A57962">
        <w:rPr>
          <w:rFonts w:cstheme="minorHAnsi"/>
        </w:rPr>
        <w:t>27.136.941</w:t>
      </w:r>
      <w:r>
        <w:rPr>
          <w:rFonts w:cstheme="minorHAnsi"/>
        </w:rPr>
        <w:t xml:space="preserve"> kn.</w:t>
      </w:r>
    </w:p>
    <w:bookmarkEnd w:id="2"/>
    <w:p w:rsidR="0079684E" w:rsidRDefault="0079684E" w:rsidP="005E4779">
      <w:pPr>
        <w:autoSpaceDE w:val="0"/>
        <w:autoSpaceDN w:val="0"/>
        <w:adjustRightInd w:val="0"/>
        <w:spacing w:after="0" w:line="240" w:lineRule="auto"/>
        <w:jc w:val="both"/>
        <w:rPr>
          <w:rFonts w:cstheme="minorHAnsi"/>
          <w:color w:val="FF0000"/>
        </w:rPr>
      </w:pPr>
    </w:p>
    <w:p w:rsidR="00DE021B" w:rsidRDefault="00DE021B" w:rsidP="0079684E">
      <w:pPr>
        <w:autoSpaceDE w:val="0"/>
        <w:jc w:val="both"/>
        <w:rPr>
          <w:rFonts w:cs="Calibri"/>
          <w:sz w:val="28"/>
          <w:szCs w:val="28"/>
        </w:rPr>
      </w:pPr>
    </w:p>
    <w:p w:rsidR="0079684E" w:rsidRDefault="0079684E" w:rsidP="0079684E">
      <w:pPr>
        <w:autoSpaceDE w:val="0"/>
        <w:jc w:val="both"/>
        <w:rPr>
          <w:rFonts w:cs="Calibri"/>
          <w:sz w:val="28"/>
          <w:szCs w:val="28"/>
        </w:rPr>
      </w:pPr>
      <w:r>
        <w:rPr>
          <w:rFonts w:cs="Calibri"/>
          <w:sz w:val="28"/>
          <w:szCs w:val="28"/>
        </w:rPr>
        <w:t>BILJEŠKE UZ IZVJEŠTAJ RAS FUNKCIJSKI</w:t>
      </w:r>
    </w:p>
    <w:p w:rsidR="0079684E" w:rsidRDefault="0079684E" w:rsidP="0079684E">
      <w:pPr>
        <w:autoSpaceDE w:val="0"/>
        <w:jc w:val="both"/>
        <w:rPr>
          <w:rFonts w:cs="Calibri"/>
        </w:rPr>
      </w:pPr>
      <w:r>
        <w:rPr>
          <w:rFonts w:cs="Calibri"/>
        </w:rPr>
        <w:t>Ukupni rashodi po funkcijskim klasif</w:t>
      </w:r>
      <w:r w:rsidR="00AA3ABC">
        <w:rPr>
          <w:rFonts w:cs="Calibri"/>
        </w:rPr>
        <w:t>ikacijskim oznakama iznose 5.</w:t>
      </w:r>
      <w:r w:rsidR="00F318A5">
        <w:rPr>
          <w:rFonts w:cs="Calibri"/>
        </w:rPr>
        <w:t>591.366.049</w:t>
      </w:r>
      <w:r>
        <w:rPr>
          <w:rFonts w:cs="Calibri"/>
        </w:rPr>
        <w:t xml:space="preserve"> kn od kojih se  najveći dio odnosi na funkciju 06 – Unapređenje st</w:t>
      </w:r>
      <w:r w:rsidR="00F318A5">
        <w:rPr>
          <w:rFonts w:cs="Calibri"/>
        </w:rPr>
        <w:t>anovanja i zajednice – 1.409.049.37</w:t>
      </w:r>
      <w:r>
        <w:rPr>
          <w:rFonts w:cs="Calibri"/>
        </w:rPr>
        <w:t>3 kn. Rashodi na ovoj funkciji manji su za 8% u odnosu na prethodnu godinu.</w:t>
      </w:r>
    </w:p>
    <w:p w:rsidR="00DE021B" w:rsidRDefault="00DE021B" w:rsidP="0079684E">
      <w:pPr>
        <w:autoSpaceDE w:val="0"/>
        <w:spacing w:after="0"/>
        <w:jc w:val="both"/>
        <w:rPr>
          <w:rFonts w:cs="Calibri"/>
          <w:sz w:val="28"/>
          <w:szCs w:val="28"/>
        </w:rPr>
      </w:pPr>
    </w:p>
    <w:p w:rsidR="0079684E" w:rsidRDefault="0079684E" w:rsidP="0079684E">
      <w:pPr>
        <w:autoSpaceDE w:val="0"/>
        <w:spacing w:after="0"/>
        <w:jc w:val="both"/>
        <w:rPr>
          <w:rFonts w:cs="Calibri"/>
          <w:sz w:val="28"/>
          <w:szCs w:val="28"/>
        </w:rPr>
      </w:pPr>
      <w:r>
        <w:rPr>
          <w:rFonts w:cs="Calibri"/>
          <w:sz w:val="28"/>
          <w:szCs w:val="28"/>
        </w:rPr>
        <w:lastRenderedPageBreak/>
        <w:t>BILJEŠKE UZ IZVJEŠTAJ O OBVEZAMA</w:t>
      </w:r>
    </w:p>
    <w:p w:rsidR="0079684E" w:rsidRDefault="0079684E" w:rsidP="0079684E">
      <w:pPr>
        <w:autoSpaceDE w:val="0"/>
        <w:spacing w:after="0"/>
        <w:jc w:val="both"/>
        <w:rPr>
          <w:rFonts w:cs="Calibri"/>
          <w:sz w:val="28"/>
          <w:szCs w:val="28"/>
        </w:rPr>
      </w:pPr>
    </w:p>
    <w:p w:rsidR="0079684E" w:rsidRDefault="0079684E" w:rsidP="0079684E">
      <w:pPr>
        <w:autoSpaceDE w:val="0"/>
        <w:spacing w:after="0"/>
        <w:jc w:val="both"/>
        <w:rPr>
          <w:rFonts w:cs="Calibri"/>
        </w:rPr>
      </w:pPr>
      <w:r>
        <w:rPr>
          <w:rFonts w:cs="Calibri"/>
        </w:rPr>
        <w:t>U izvještaju o obvezama iskazuju se ukupne obveze Grada Zagreba na dan 31. prosinca 2020. godine. Stanje obveza na kraju izvještajnog razdoblja (AOP 036) iznose 3.571.603.073 kn od čega su dospjele obveze (AOP 037) 550.051.856 kn, a nedospjele (AOP 090) 3.021.551.217 kn.</w:t>
      </w:r>
    </w:p>
    <w:p w:rsidR="0079684E" w:rsidRDefault="0079684E" w:rsidP="0079684E">
      <w:pPr>
        <w:autoSpaceDE w:val="0"/>
        <w:spacing w:after="0"/>
        <w:jc w:val="both"/>
        <w:rPr>
          <w:rFonts w:cs="Calibri"/>
        </w:rPr>
      </w:pPr>
      <w:r>
        <w:rPr>
          <w:rFonts w:cs="Calibri"/>
        </w:rPr>
        <w:t>Ukupne obveze su za 399.102.368 kn veće, a dospjele obveze za 30.472.15</w:t>
      </w:r>
      <w:r w:rsidR="00B15E67">
        <w:rPr>
          <w:rFonts w:cs="Calibri"/>
        </w:rPr>
        <w:t>8 kn veće u odnosu na 31.12.2019</w:t>
      </w:r>
      <w:r>
        <w:rPr>
          <w:rFonts w:cs="Calibri"/>
        </w:rPr>
        <w:t>. godine.</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b/>
        </w:rPr>
      </w:pPr>
      <w:r>
        <w:rPr>
          <w:rFonts w:cs="Calibri"/>
          <w:b/>
        </w:rPr>
        <w:t>Dospjele obveze 550.051.856 kn:</w:t>
      </w:r>
    </w:p>
    <w:p w:rsidR="0079684E" w:rsidRDefault="0079684E" w:rsidP="0079684E">
      <w:pPr>
        <w:autoSpaceDE w:val="0"/>
        <w:spacing w:after="0"/>
        <w:jc w:val="both"/>
        <w:rPr>
          <w:rFonts w:cs="Calibri"/>
          <w:u w:val="single"/>
        </w:rPr>
      </w:pPr>
      <w:r>
        <w:rPr>
          <w:rFonts w:cs="Calibri"/>
          <w:u w:val="single"/>
        </w:rPr>
        <w:t>Prekoračenje od 1-60 dana iznosi 371.575.526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Međusobne obveze proračunskih korisnika – 13.685.485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231 – obveze za zaposlene – 2.596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232 – obveze za materijalne rashode – 202.994.547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234 – obveze za financijske rashode – 478.296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235 – obveze za subvencije –38.708.250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237 – obveze za naknade građanima i kućanstvima – 29.970.846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238 – obveze za kazne, naknade šteta i kapitalne pomoći – 3.074.382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239 – ostale tekuće obveze – 28.940.700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24 – obveze za nabavu nefinancijske imovine – 53.720.424 kn.</w:t>
      </w:r>
    </w:p>
    <w:p w:rsidR="0079684E" w:rsidRDefault="0079684E" w:rsidP="0079684E">
      <w:pPr>
        <w:autoSpaceDE w:val="0"/>
        <w:spacing w:after="0"/>
        <w:jc w:val="both"/>
        <w:rPr>
          <w:rFonts w:cs="Calibri"/>
        </w:rPr>
      </w:pPr>
    </w:p>
    <w:p w:rsidR="0079684E" w:rsidRDefault="0079684E" w:rsidP="0079684E">
      <w:pPr>
        <w:autoSpaceDE w:val="0"/>
        <w:spacing w:after="0"/>
        <w:jc w:val="both"/>
        <w:rPr>
          <w:rFonts w:cs="Calibri"/>
          <w:u w:val="single"/>
        </w:rPr>
      </w:pPr>
      <w:r>
        <w:rPr>
          <w:rFonts w:cs="Calibri"/>
          <w:u w:val="single"/>
        </w:rPr>
        <w:t>Prekoračenje od 61-180 dana iznosi 134.119.749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Međusobne obveze proračunskih korisnika – 17.222.621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231 - obveze za zaposlene – 0</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232 - obveze za materijalne rashode –88.745.127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234 - obveze za financijske rashode – 16.949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235 - obveze za subvencije – 2.000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237 - obveze za naknade građanima i kućanstvima – 14.265.347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238 – obveze za kazne, naknade šteta i kapitalne pomoći – 14.247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239 – ostale tekuće obveze 373.673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24 – obveze za nabavu nefinancijske imovine – 13.479.785 kn.</w:t>
      </w:r>
    </w:p>
    <w:p w:rsidR="0079684E" w:rsidRDefault="0079684E" w:rsidP="0079684E">
      <w:pPr>
        <w:autoSpaceDE w:val="0"/>
        <w:spacing w:after="0"/>
        <w:jc w:val="both"/>
        <w:rPr>
          <w:rFonts w:cs="Calibri"/>
          <w:u w:val="single"/>
        </w:rPr>
      </w:pPr>
    </w:p>
    <w:p w:rsidR="0079684E" w:rsidRDefault="0079684E" w:rsidP="0079684E">
      <w:pPr>
        <w:autoSpaceDE w:val="0"/>
        <w:spacing w:after="0"/>
        <w:jc w:val="both"/>
        <w:rPr>
          <w:rFonts w:cs="Calibri"/>
          <w:u w:val="single"/>
        </w:rPr>
      </w:pPr>
      <w:r>
        <w:rPr>
          <w:rFonts w:cs="Calibri"/>
          <w:u w:val="single"/>
        </w:rPr>
        <w:t>Prekoračenje od 181 – 360 dana iznosi 37.905.092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Međusobne obveze proračunskih korisnika – 2.583.799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232 – obveze za materijalne rashode – 24.672.253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234 - obveze za financijske rashode 1.000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235 – obveze za subvencije 9.139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237 – obveze za naknade građanima i kućanstvima – 6.710.052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238  - obveze za kazne, naknade šteta i kapitalne pomoći – 7.251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239 – ostale tekuće obveze 90.812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24 – obveze za nabavu nefinancijske imovine – 3.839.925 kn.</w:t>
      </w:r>
    </w:p>
    <w:p w:rsidR="0079684E" w:rsidRDefault="0079684E" w:rsidP="0079684E">
      <w:pPr>
        <w:autoSpaceDE w:val="0"/>
        <w:spacing w:after="0"/>
        <w:jc w:val="both"/>
        <w:rPr>
          <w:rFonts w:cs="Calibri"/>
          <w:u w:val="single"/>
        </w:rPr>
      </w:pPr>
    </w:p>
    <w:p w:rsidR="0079684E" w:rsidRDefault="0079684E" w:rsidP="0079684E">
      <w:pPr>
        <w:autoSpaceDE w:val="0"/>
        <w:spacing w:after="0"/>
        <w:jc w:val="both"/>
        <w:rPr>
          <w:rFonts w:cs="Calibri"/>
          <w:u w:val="single"/>
        </w:rPr>
      </w:pPr>
      <w:r>
        <w:rPr>
          <w:rFonts w:cs="Calibri"/>
          <w:u w:val="single"/>
        </w:rPr>
        <w:t>Prekoračenje preko 360 dana iznosi 6.442.350 kn</w:t>
      </w:r>
    </w:p>
    <w:p w:rsidR="0079684E" w:rsidRDefault="0079684E" w:rsidP="0079684E">
      <w:pPr>
        <w:pStyle w:val="ListParagraph"/>
        <w:numPr>
          <w:ilvl w:val="0"/>
          <w:numId w:val="22"/>
        </w:numPr>
        <w:suppressAutoHyphens/>
        <w:autoSpaceDE w:val="0"/>
        <w:autoSpaceDN w:val="0"/>
        <w:spacing w:after="0" w:line="240" w:lineRule="auto"/>
        <w:contextualSpacing w:val="0"/>
        <w:jc w:val="both"/>
        <w:textAlignment w:val="baseline"/>
        <w:rPr>
          <w:rFonts w:cs="Calibri"/>
        </w:rPr>
      </w:pPr>
      <w:r>
        <w:rPr>
          <w:rFonts w:cs="Calibri"/>
        </w:rPr>
        <w:t>Međusobne obveze proračunskih korisnika – 2.706.115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232 – obveze za materijalne rashode – 2.811.489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237 – obveze za naknade građanima i kućanstvima – 76.803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24 – obveze za nabavu nefinancijske imovine – 847.943 kn.</w:t>
      </w:r>
    </w:p>
    <w:p w:rsidR="0079684E" w:rsidRDefault="0079684E" w:rsidP="0079684E">
      <w:pPr>
        <w:autoSpaceDE w:val="0"/>
        <w:spacing w:after="0"/>
        <w:jc w:val="both"/>
        <w:rPr>
          <w:rFonts w:cs="Calibri"/>
          <w:b/>
        </w:rPr>
      </w:pPr>
    </w:p>
    <w:p w:rsidR="002C7A08" w:rsidRDefault="002C7A08" w:rsidP="0079684E">
      <w:pPr>
        <w:autoSpaceDE w:val="0"/>
        <w:spacing w:after="0"/>
        <w:jc w:val="both"/>
        <w:rPr>
          <w:rFonts w:cs="Calibri"/>
          <w:b/>
        </w:rPr>
      </w:pPr>
    </w:p>
    <w:p w:rsidR="002C7A08" w:rsidRDefault="002C7A08" w:rsidP="0079684E">
      <w:pPr>
        <w:autoSpaceDE w:val="0"/>
        <w:spacing w:after="0"/>
        <w:jc w:val="both"/>
        <w:rPr>
          <w:rFonts w:cs="Calibri"/>
          <w:b/>
        </w:rPr>
      </w:pPr>
    </w:p>
    <w:p w:rsidR="002C7A08" w:rsidRDefault="002C7A08" w:rsidP="0079684E">
      <w:pPr>
        <w:autoSpaceDE w:val="0"/>
        <w:spacing w:after="0"/>
        <w:jc w:val="both"/>
        <w:rPr>
          <w:rFonts w:cs="Calibri"/>
          <w:b/>
        </w:rPr>
      </w:pPr>
    </w:p>
    <w:p w:rsidR="0079684E" w:rsidRDefault="0079684E" w:rsidP="0079684E">
      <w:pPr>
        <w:autoSpaceDE w:val="0"/>
        <w:spacing w:after="0"/>
        <w:jc w:val="both"/>
        <w:rPr>
          <w:rFonts w:cs="Calibri"/>
          <w:b/>
        </w:rPr>
      </w:pPr>
      <w:r>
        <w:rPr>
          <w:rFonts w:cs="Calibri"/>
          <w:b/>
        </w:rPr>
        <w:lastRenderedPageBreak/>
        <w:t>Nedospjele obveze 3.021.551.217 kn:</w:t>
      </w:r>
    </w:p>
    <w:p w:rsidR="0079684E" w:rsidRDefault="0079684E" w:rsidP="0079684E">
      <w:pPr>
        <w:pStyle w:val="ListParagraph"/>
        <w:numPr>
          <w:ilvl w:val="0"/>
          <w:numId w:val="22"/>
        </w:numPr>
        <w:autoSpaceDE w:val="0"/>
        <w:autoSpaceDN w:val="0"/>
        <w:spacing w:after="0" w:line="240" w:lineRule="auto"/>
        <w:contextualSpacing w:val="0"/>
        <w:jc w:val="both"/>
      </w:pPr>
      <w:r>
        <w:rPr>
          <w:rFonts w:cs="Calibri"/>
        </w:rPr>
        <w:t>Međusobne obveze proračunskih korisnika – iznose 464.782.805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Obveze za rashode poslovanja – iznose 365.204.841 kn (obveze za plaće za prosinac 2020 za materijalne rashode, za PDV i ostale obveze)</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Obveze za nabavu nefinancijske imovine 95.424.543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Obveze za financijsku imovinu – 2.096.139.028 kn (obveze za kredite i zajmove).</w:t>
      </w:r>
    </w:p>
    <w:p w:rsidR="0079684E" w:rsidRDefault="0079684E" w:rsidP="0079684E">
      <w:pPr>
        <w:autoSpaceDE w:val="0"/>
        <w:spacing w:after="0"/>
        <w:jc w:val="both"/>
        <w:rPr>
          <w:rFonts w:cs="Calibri"/>
        </w:rPr>
      </w:pPr>
    </w:p>
    <w:p w:rsidR="0079684E" w:rsidRDefault="0079684E" w:rsidP="0079684E">
      <w:pPr>
        <w:autoSpaceDE w:val="0"/>
        <w:spacing w:after="0"/>
        <w:jc w:val="both"/>
      </w:pPr>
      <w:r>
        <w:rPr>
          <w:rFonts w:cs="Calibri"/>
          <w:b/>
        </w:rPr>
        <w:t>AOP 094 - Obveze za financijsku imovinu –</w:t>
      </w:r>
      <w:r w:rsidR="00B15E67">
        <w:rPr>
          <w:rFonts w:cs="Calibri"/>
          <w:b/>
        </w:rPr>
        <w:t xml:space="preserve"> </w:t>
      </w:r>
      <w:r>
        <w:rPr>
          <w:rFonts w:cs="Calibri"/>
        </w:rPr>
        <w:t>iznose 2.525.809..323</w:t>
      </w:r>
      <w:r>
        <w:rPr>
          <w:rFonts w:cs="Calibri"/>
          <w:b/>
        </w:rPr>
        <w:t xml:space="preserve"> </w:t>
      </w:r>
      <w:r>
        <w:rPr>
          <w:rFonts w:cs="Calibri"/>
        </w:rPr>
        <w:t>kn i veće su za 628.296.001 kn u odnosu na prethodnu godinu. Iznos od 429.670.294 kn iskazan je na AOP-u 091 jer se radi o zajmu od strane Državnog proračuna.</w:t>
      </w:r>
    </w:p>
    <w:p w:rsidR="0079684E" w:rsidRDefault="0079684E" w:rsidP="0079684E">
      <w:pPr>
        <w:autoSpaceDE w:val="0"/>
        <w:spacing w:after="0"/>
        <w:jc w:val="both"/>
        <w:rPr>
          <w:rFonts w:cs="Calibri"/>
        </w:rPr>
      </w:pPr>
      <w:r>
        <w:rPr>
          <w:rFonts w:cs="Calibri"/>
        </w:rPr>
        <w:t>Obveze za financijsku imovinu:</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Kredit HBOR 4.262.724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Zajmovi od TD kratkoročni – Zagrebački holding – 60.062.663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Zajmovi od TD dugoročni – Zagrebački holding – 40.324.105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Zajmovi od TD dugoročni ZET – 30.576.031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Obveze za kredite Gredelj- 238.336.195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Obveze za kredite Zagrepčanka – 129.150.007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 xml:space="preserve">Kredit Erste i </w:t>
      </w:r>
      <w:proofErr w:type="spellStart"/>
      <w:r>
        <w:rPr>
          <w:rFonts w:cs="Calibri"/>
        </w:rPr>
        <w:t>Steiermarkishe</w:t>
      </w:r>
      <w:proofErr w:type="spellEnd"/>
      <w:r>
        <w:rPr>
          <w:rFonts w:cs="Calibri"/>
        </w:rPr>
        <w:t xml:space="preserve"> </w:t>
      </w:r>
      <w:proofErr w:type="spellStart"/>
      <w:r>
        <w:rPr>
          <w:rFonts w:cs="Calibri"/>
        </w:rPr>
        <w:t>bank</w:t>
      </w:r>
      <w:proofErr w:type="spellEnd"/>
      <w:r>
        <w:rPr>
          <w:rFonts w:cs="Calibri"/>
        </w:rPr>
        <w:t xml:space="preserve"> 51.397.333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 xml:space="preserve">Kredit Erste i </w:t>
      </w:r>
      <w:proofErr w:type="spellStart"/>
      <w:r>
        <w:rPr>
          <w:rFonts w:cs="Calibri"/>
        </w:rPr>
        <w:t>Steiermarkishe</w:t>
      </w:r>
      <w:proofErr w:type="spellEnd"/>
      <w:r>
        <w:rPr>
          <w:rFonts w:cs="Calibri"/>
        </w:rPr>
        <w:t xml:space="preserve"> </w:t>
      </w:r>
      <w:proofErr w:type="spellStart"/>
      <w:r>
        <w:rPr>
          <w:rFonts w:cs="Calibri"/>
        </w:rPr>
        <w:t>bank</w:t>
      </w:r>
      <w:proofErr w:type="spellEnd"/>
      <w:r>
        <w:rPr>
          <w:rFonts w:cs="Calibri"/>
        </w:rPr>
        <w:t xml:space="preserve"> 100.000.000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Kredit ZABA 125.000.000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Kredit ZABA 187.500.000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Kredit PBZ 300.000.000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 xml:space="preserve">Kredit Zajednica banaka (Erste, OTP, PBZ, ZABA) 287.840.000 kn, </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 xml:space="preserve">Zajmovi po </w:t>
      </w:r>
      <w:proofErr w:type="spellStart"/>
      <w:r>
        <w:rPr>
          <w:rFonts w:cs="Calibri"/>
        </w:rPr>
        <w:t>faktoringu</w:t>
      </w:r>
      <w:proofErr w:type="spellEnd"/>
      <w:r>
        <w:rPr>
          <w:rFonts w:cs="Calibri"/>
        </w:rPr>
        <w:t xml:space="preserve"> od tuzemnih FI izvan javnog sektora – VIO – 51.310.217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 xml:space="preserve">Zajmovi po </w:t>
      </w:r>
      <w:proofErr w:type="spellStart"/>
      <w:r>
        <w:rPr>
          <w:rFonts w:cs="Calibri"/>
        </w:rPr>
        <w:t>faktoringu</w:t>
      </w:r>
      <w:proofErr w:type="spellEnd"/>
      <w:r>
        <w:rPr>
          <w:rFonts w:cs="Calibri"/>
        </w:rPr>
        <w:t xml:space="preserve"> od tuzemnih FI izvan javnog sektora – Zg. Holding – 210.199.067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 xml:space="preserve">Zajmovi po </w:t>
      </w:r>
      <w:proofErr w:type="spellStart"/>
      <w:r>
        <w:rPr>
          <w:rFonts w:cs="Calibri"/>
        </w:rPr>
        <w:t>faktoringu</w:t>
      </w:r>
      <w:proofErr w:type="spellEnd"/>
      <w:r>
        <w:rPr>
          <w:rFonts w:cs="Calibri"/>
        </w:rPr>
        <w:t xml:space="preserve"> od tuzemnih FI izvan javnog sektora – ZET – 60.576.031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 xml:space="preserve">Zajmovi po </w:t>
      </w:r>
      <w:proofErr w:type="spellStart"/>
      <w:r>
        <w:rPr>
          <w:rFonts w:cs="Calibri"/>
        </w:rPr>
        <w:t>faktoringu</w:t>
      </w:r>
      <w:proofErr w:type="spellEnd"/>
      <w:r>
        <w:rPr>
          <w:rFonts w:cs="Calibri"/>
        </w:rPr>
        <w:t xml:space="preserve"> od tuzemnih FI izvan javnog sektora – ZOV – 140.000.000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 xml:space="preserve">Zajmovi od TD izvan javnog sektora – </w:t>
      </w:r>
      <w:proofErr w:type="spellStart"/>
      <w:r>
        <w:rPr>
          <w:rFonts w:cs="Calibri"/>
        </w:rPr>
        <w:t>Laščina</w:t>
      </w:r>
      <w:proofErr w:type="spellEnd"/>
      <w:r>
        <w:rPr>
          <w:rFonts w:cs="Calibri"/>
        </w:rPr>
        <w:t xml:space="preserve"> – 79.604.654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Zajmovi od Državnog proračuna kratkoročni – odgoda plaćanja poreza i prireza 90.562.547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Zajmovi od Državnog proračuna kratkoročni – povrati po godišnjoj prijavi poreza na dohodak 302.807.747 kn,</w:t>
      </w:r>
    </w:p>
    <w:p w:rsidR="0079684E" w:rsidRDefault="0079684E" w:rsidP="0079684E">
      <w:pPr>
        <w:pStyle w:val="ListParagraph"/>
        <w:numPr>
          <w:ilvl w:val="0"/>
          <w:numId w:val="22"/>
        </w:numPr>
        <w:autoSpaceDE w:val="0"/>
        <w:autoSpaceDN w:val="0"/>
        <w:spacing w:after="0" w:line="240" w:lineRule="auto"/>
        <w:contextualSpacing w:val="0"/>
        <w:jc w:val="both"/>
        <w:rPr>
          <w:rFonts w:cs="Calibri"/>
        </w:rPr>
      </w:pPr>
      <w:r>
        <w:rPr>
          <w:rFonts w:cs="Calibri"/>
        </w:rPr>
        <w:t>Zajmovi od Državnog proračuna dugoročni – zbog smanjenja prihoda 36.300.000 kn.</w:t>
      </w:r>
    </w:p>
    <w:p w:rsidR="0079684E" w:rsidRDefault="0079684E" w:rsidP="0079684E">
      <w:pPr>
        <w:autoSpaceDE w:val="0"/>
        <w:spacing w:after="0"/>
        <w:jc w:val="both"/>
        <w:rPr>
          <w:rFonts w:cs="Calibri"/>
        </w:rPr>
      </w:pPr>
    </w:p>
    <w:p w:rsidR="006629DA" w:rsidRDefault="006629DA" w:rsidP="0079684E">
      <w:pPr>
        <w:spacing w:after="0"/>
        <w:rPr>
          <w:rFonts w:cs="Calibri"/>
          <w:sz w:val="28"/>
          <w:szCs w:val="28"/>
        </w:rPr>
      </w:pPr>
    </w:p>
    <w:p w:rsidR="0079684E" w:rsidRDefault="0079684E" w:rsidP="0079684E">
      <w:pPr>
        <w:spacing w:after="0"/>
        <w:rPr>
          <w:rFonts w:cs="Calibri"/>
          <w:sz w:val="28"/>
          <w:szCs w:val="28"/>
        </w:rPr>
      </w:pPr>
      <w:r>
        <w:rPr>
          <w:rFonts w:cs="Calibri"/>
          <w:sz w:val="28"/>
          <w:szCs w:val="28"/>
        </w:rPr>
        <w:t xml:space="preserve">IZVJEŠTAJ O </w:t>
      </w:r>
      <w:r w:rsidR="00F318A5">
        <w:rPr>
          <w:rFonts w:cs="Calibri"/>
          <w:sz w:val="28"/>
          <w:szCs w:val="28"/>
        </w:rPr>
        <w:t>PROMJENAMA U VRIJEDNOSTI I OBUJ</w:t>
      </w:r>
      <w:r>
        <w:rPr>
          <w:rFonts w:cs="Calibri"/>
          <w:sz w:val="28"/>
          <w:szCs w:val="28"/>
        </w:rPr>
        <w:t>MU IMOVINE I OBVEZA</w:t>
      </w:r>
    </w:p>
    <w:p w:rsidR="0079684E" w:rsidRDefault="0079684E" w:rsidP="0079684E">
      <w:pPr>
        <w:spacing w:after="0"/>
        <w:jc w:val="both"/>
        <w:rPr>
          <w:rFonts w:eastAsia="Times New Roman" w:cs="Calibri"/>
          <w:lang w:eastAsia="hr-HR"/>
        </w:rPr>
      </w:pPr>
    </w:p>
    <w:p w:rsidR="0079684E" w:rsidRDefault="0079684E" w:rsidP="0079684E">
      <w:pPr>
        <w:spacing w:after="0"/>
        <w:jc w:val="both"/>
        <w:rPr>
          <w:rFonts w:eastAsia="Times New Roman" w:cs="Calibri"/>
          <w:b/>
          <w:lang w:eastAsia="hr-HR"/>
        </w:rPr>
      </w:pPr>
      <w:r>
        <w:rPr>
          <w:rFonts w:eastAsia="Times New Roman" w:cs="Calibri"/>
          <w:b/>
          <w:lang w:eastAsia="hr-HR"/>
        </w:rPr>
        <w:t>Bilješka br. 1 – AOP 010 Promjene u vrijednosti (revalorizacija) financijske imovine</w:t>
      </w:r>
    </w:p>
    <w:p w:rsidR="0079684E" w:rsidRDefault="0079684E" w:rsidP="0079684E">
      <w:pPr>
        <w:spacing w:after="0"/>
        <w:jc w:val="both"/>
        <w:rPr>
          <w:rFonts w:eastAsia="Times New Roman" w:cs="Calibri"/>
          <w:lang w:eastAsia="hr-HR"/>
        </w:rPr>
      </w:pPr>
    </w:p>
    <w:p w:rsidR="0079684E" w:rsidRDefault="0079684E" w:rsidP="0079684E">
      <w:pPr>
        <w:spacing w:after="0"/>
        <w:jc w:val="both"/>
        <w:rPr>
          <w:rFonts w:eastAsia="Times New Roman" w:cs="Calibri"/>
          <w:lang w:eastAsia="hr-HR"/>
        </w:rPr>
      </w:pPr>
      <w:r>
        <w:rPr>
          <w:rFonts w:eastAsia="Times New Roman" w:cs="Calibri"/>
          <w:lang w:eastAsia="hr-HR"/>
        </w:rPr>
        <w:t>Prema obavijesti Središnjeg klirinškog depozitarnog društva o stanju računa na dan 31.12.2020. i tržišnoj vrijednosti provedeno je vrijednosno usklađenje dionica i vrijednosnih papira u vlasništvu Grada Zagreba i to: povećanje vrijednosti dionica u iznosu 2.897 kn.</w:t>
      </w:r>
    </w:p>
    <w:p w:rsidR="002C7A08" w:rsidRDefault="002C7A08" w:rsidP="0079684E">
      <w:pPr>
        <w:spacing w:after="0"/>
        <w:jc w:val="both"/>
        <w:rPr>
          <w:rFonts w:eastAsia="Times New Roman" w:cs="Calibri"/>
          <w:lang w:eastAsia="hr-HR"/>
        </w:rPr>
      </w:pPr>
    </w:p>
    <w:p w:rsidR="0079684E" w:rsidRDefault="0079684E" w:rsidP="0079684E">
      <w:pPr>
        <w:spacing w:after="0"/>
        <w:jc w:val="both"/>
        <w:rPr>
          <w:rFonts w:eastAsia="Times New Roman" w:cs="Calibri"/>
          <w:b/>
          <w:lang w:eastAsia="hr-HR"/>
        </w:rPr>
      </w:pPr>
      <w:r>
        <w:rPr>
          <w:rFonts w:eastAsia="Times New Roman" w:cs="Calibri"/>
          <w:b/>
          <w:lang w:eastAsia="hr-HR"/>
        </w:rPr>
        <w:t>Bilješka br. 3 – AOP 019 Promjene u obujmu nefinancijske imovine</w:t>
      </w:r>
    </w:p>
    <w:p w:rsidR="0079684E" w:rsidRDefault="0079684E" w:rsidP="0079684E">
      <w:pPr>
        <w:spacing w:after="0"/>
        <w:jc w:val="both"/>
        <w:rPr>
          <w:rFonts w:eastAsia="Times New Roman" w:cs="Calibri"/>
          <w:lang w:eastAsia="hr-HR"/>
        </w:rPr>
      </w:pPr>
    </w:p>
    <w:p w:rsidR="0079684E" w:rsidRDefault="0079684E" w:rsidP="0079684E">
      <w:pPr>
        <w:spacing w:after="0"/>
        <w:jc w:val="both"/>
        <w:rPr>
          <w:rFonts w:eastAsia="Times New Roman" w:cs="Calibri"/>
          <w:lang w:eastAsia="hr-HR"/>
        </w:rPr>
      </w:pPr>
      <w:r>
        <w:rPr>
          <w:rFonts w:eastAsia="Times New Roman" w:cs="Calibri"/>
          <w:lang w:eastAsia="hr-HR"/>
        </w:rPr>
        <w:t>Povećanje obujma nefinancijske imovine je 155.404.242 kn, a odnosi se na:</w:t>
      </w:r>
    </w:p>
    <w:p w:rsidR="0079684E" w:rsidRDefault="0079684E" w:rsidP="0079684E">
      <w:pPr>
        <w:spacing w:after="0"/>
        <w:jc w:val="both"/>
        <w:rPr>
          <w:rFonts w:eastAsia="Times New Roman" w:cs="Calibri"/>
          <w:lang w:eastAsia="hr-HR"/>
        </w:rPr>
      </w:pPr>
    </w:p>
    <w:p w:rsidR="0079684E" w:rsidRDefault="0079684E" w:rsidP="0079684E">
      <w:pPr>
        <w:pStyle w:val="ListParagraph"/>
        <w:numPr>
          <w:ilvl w:val="0"/>
          <w:numId w:val="23"/>
        </w:numPr>
        <w:autoSpaceDN w:val="0"/>
        <w:spacing w:after="0" w:line="240" w:lineRule="auto"/>
        <w:contextualSpacing w:val="0"/>
        <w:jc w:val="both"/>
        <w:rPr>
          <w:rFonts w:eastAsia="Times New Roman" w:cs="Calibri"/>
          <w:lang w:eastAsia="hr-HR"/>
        </w:rPr>
      </w:pPr>
      <w:proofErr w:type="spellStart"/>
      <w:r>
        <w:rPr>
          <w:rFonts w:eastAsia="Times New Roman" w:cs="Calibri"/>
          <w:lang w:eastAsia="hr-HR"/>
        </w:rPr>
        <w:t>neproizvedenu</w:t>
      </w:r>
      <w:proofErr w:type="spellEnd"/>
      <w:r>
        <w:rPr>
          <w:rFonts w:eastAsia="Times New Roman" w:cs="Calibri"/>
          <w:lang w:eastAsia="hr-HR"/>
        </w:rPr>
        <w:t xml:space="preserve"> dugotrajnu imovinu (AOP 020) - novo evidentirana zemljišta u vlasništvu Grada koja nisu bila evidentirana, a predmet su kupoprodaje po procijenjenoj vrijednosti od strane sudskog vještaka u iznosu 64.575.677 kuna i uknjiženje NK  Brezovica 87.137 kn.</w:t>
      </w:r>
    </w:p>
    <w:p w:rsidR="0079684E" w:rsidRDefault="0079684E" w:rsidP="0079684E">
      <w:pPr>
        <w:pStyle w:val="ListParagraph"/>
        <w:numPr>
          <w:ilvl w:val="0"/>
          <w:numId w:val="23"/>
        </w:numPr>
        <w:autoSpaceDN w:val="0"/>
        <w:spacing w:after="0" w:line="240" w:lineRule="auto"/>
        <w:contextualSpacing w:val="0"/>
        <w:jc w:val="both"/>
        <w:rPr>
          <w:rFonts w:eastAsia="Times New Roman" w:cs="Calibri"/>
          <w:lang w:eastAsia="hr-HR"/>
        </w:rPr>
      </w:pPr>
      <w:r>
        <w:rPr>
          <w:rFonts w:eastAsia="Times New Roman" w:cs="Calibri"/>
          <w:lang w:eastAsia="hr-HR"/>
        </w:rPr>
        <w:lastRenderedPageBreak/>
        <w:t xml:space="preserve">proizvedenu dugotrajnu imovinu (AOP 021) - novo evidentirani građevinski objekt MO </w:t>
      </w:r>
      <w:proofErr w:type="spellStart"/>
      <w:r>
        <w:rPr>
          <w:rFonts w:eastAsia="Times New Roman" w:cs="Calibri"/>
          <w:lang w:eastAsia="hr-HR"/>
        </w:rPr>
        <w:t>Kučilovina</w:t>
      </w:r>
      <w:proofErr w:type="spellEnd"/>
      <w:r>
        <w:rPr>
          <w:rFonts w:eastAsia="Times New Roman" w:cs="Calibri"/>
          <w:lang w:eastAsia="hr-HR"/>
        </w:rPr>
        <w:t xml:space="preserve"> u iznosu 88.775 kuna, spremnici za otpad dobiveni od Fonda za zaštitu okoliša u iznosu od 53.943.125 kn, uknjiženje garaža i poslovnih prostora u iznosu 31.183.967 kn i nabavljena oprema od 1.751.625 kn.</w:t>
      </w:r>
    </w:p>
    <w:p w:rsidR="0079684E" w:rsidRDefault="0079684E" w:rsidP="0079684E">
      <w:pPr>
        <w:pStyle w:val="ListParagraph"/>
        <w:numPr>
          <w:ilvl w:val="0"/>
          <w:numId w:val="23"/>
        </w:numPr>
        <w:autoSpaceDN w:val="0"/>
        <w:spacing w:after="0" w:line="240" w:lineRule="auto"/>
        <w:contextualSpacing w:val="0"/>
        <w:jc w:val="both"/>
        <w:rPr>
          <w:rFonts w:eastAsia="Times New Roman" w:cs="Calibri"/>
          <w:lang w:eastAsia="hr-HR"/>
        </w:rPr>
      </w:pPr>
      <w:r>
        <w:rPr>
          <w:rFonts w:eastAsia="Times New Roman" w:cs="Calibri"/>
          <w:lang w:eastAsia="hr-HR"/>
        </w:rPr>
        <w:t>sitan inventar (AOP 23) – prikazuje nabavljeni inventar u iznosu 23.375 kn nabavljen u prethodnoj godini.</w:t>
      </w:r>
    </w:p>
    <w:p w:rsidR="0079684E" w:rsidRDefault="0079684E" w:rsidP="0079684E">
      <w:pPr>
        <w:pStyle w:val="ListParagraph"/>
        <w:numPr>
          <w:ilvl w:val="0"/>
          <w:numId w:val="23"/>
        </w:numPr>
        <w:autoSpaceDN w:val="0"/>
        <w:spacing w:after="0" w:line="240" w:lineRule="auto"/>
        <w:contextualSpacing w:val="0"/>
        <w:jc w:val="both"/>
        <w:rPr>
          <w:rFonts w:eastAsia="Times New Roman" w:cs="Calibri"/>
          <w:lang w:eastAsia="hr-HR"/>
        </w:rPr>
      </w:pPr>
      <w:r>
        <w:rPr>
          <w:rFonts w:eastAsia="Times New Roman" w:cs="Calibri"/>
          <w:lang w:eastAsia="hr-HR"/>
        </w:rPr>
        <w:t xml:space="preserve">dugotrajnu nefinancijsku imovinu u pripremi (AOP 024) – 3.750.561 kuna uknjiženje </w:t>
      </w:r>
      <w:proofErr w:type="spellStart"/>
      <w:r>
        <w:rPr>
          <w:rFonts w:eastAsia="Times New Roman" w:cs="Calibri"/>
          <w:lang w:eastAsia="hr-HR"/>
        </w:rPr>
        <w:t>Resnik</w:t>
      </w:r>
      <w:proofErr w:type="spellEnd"/>
      <w:r>
        <w:rPr>
          <w:rFonts w:eastAsia="Times New Roman" w:cs="Calibri"/>
          <w:lang w:eastAsia="hr-HR"/>
        </w:rPr>
        <w:t>.</w:t>
      </w:r>
    </w:p>
    <w:p w:rsidR="0079684E" w:rsidRDefault="0079684E" w:rsidP="0079684E">
      <w:pPr>
        <w:pStyle w:val="ListParagraph"/>
        <w:spacing w:after="0"/>
        <w:jc w:val="both"/>
        <w:rPr>
          <w:rFonts w:eastAsia="Times New Roman" w:cs="Calibri"/>
          <w:lang w:eastAsia="hr-HR"/>
        </w:rPr>
      </w:pPr>
    </w:p>
    <w:p w:rsidR="0079684E" w:rsidRDefault="0079684E" w:rsidP="0079684E">
      <w:pPr>
        <w:spacing w:after="0"/>
        <w:jc w:val="both"/>
        <w:rPr>
          <w:rFonts w:eastAsia="Times New Roman" w:cs="Calibri"/>
          <w:lang w:eastAsia="hr-HR"/>
        </w:rPr>
      </w:pPr>
      <w:r>
        <w:rPr>
          <w:rFonts w:eastAsia="Times New Roman" w:cs="Calibri"/>
          <w:lang w:eastAsia="hr-HR"/>
        </w:rPr>
        <w:t>Smanjenje u obujmu nefinancijske imovine iznosi 16.983.394 kuna, a odnosi se na:</w:t>
      </w:r>
    </w:p>
    <w:p w:rsidR="0079684E" w:rsidRDefault="0079684E" w:rsidP="0079684E">
      <w:pPr>
        <w:spacing w:after="0"/>
        <w:jc w:val="both"/>
        <w:rPr>
          <w:rFonts w:eastAsia="Times New Roman" w:cs="Calibri"/>
          <w:lang w:eastAsia="hr-HR"/>
        </w:rPr>
      </w:pPr>
    </w:p>
    <w:p w:rsidR="0079684E" w:rsidRDefault="0079684E" w:rsidP="0079684E">
      <w:pPr>
        <w:pStyle w:val="ListParagraph"/>
        <w:numPr>
          <w:ilvl w:val="0"/>
          <w:numId w:val="23"/>
        </w:numPr>
        <w:autoSpaceDN w:val="0"/>
        <w:spacing w:after="0" w:line="240" w:lineRule="auto"/>
        <w:contextualSpacing w:val="0"/>
        <w:jc w:val="both"/>
        <w:rPr>
          <w:rFonts w:eastAsia="Times New Roman" w:cs="Calibri"/>
          <w:lang w:eastAsia="hr-HR"/>
        </w:rPr>
      </w:pPr>
      <w:r>
        <w:rPr>
          <w:rFonts w:eastAsia="Times New Roman" w:cs="Calibri"/>
          <w:lang w:eastAsia="hr-HR"/>
        </w:rPr>
        <w:t xml:space="preserve">proizvedenu dugotrajnu imovinu (AOP 021) – iznos od 289.207 kn odnosi se na rušenje starog objekta MO </w:t>
      </w:r>
      <w:proofErr w:type="spellStart"/>
      <w:r>
        <w:rPr>
          <w:rFonts w:eastAsia="Times New Roman" w:cs="Calibri"/>
          <w:lang w:eastAsia="hr-HR"/>
        </w:rPr>
        <w:t>Kučilovina</w:t>
      </w:r>
      <w:proofErr w:type="spellEnd"/>
      <w:r>
        <w:rPr>
          <w:rFonts w:eastAsia="Times New Roman" w:cs="Calibri"/>
          <w:lang w:eastAsia="hr-HR"/>
        </w:rPr>
        <w:t xml:space="preserve">, inventurni manjak i rashodovanje opreme u iznosu 32.564 kn, prijenos opreme u iznosu 4.941.821 kn Glazbenoj školi </w:t>
      </w:r>
      <w:proofErr w:type="spellStart"/>
      <w:r>
        <w:rPr>
          <w:rFonts w:eastAsia="Times New Roman" w:cs="Calibri"/>
          <w:lang w:eastAsia="hr-HR"/>
        </w:rPr>
        <w:t>Elly</w:t>
      </w:r>
      <w:proofErr w:type="spellEnd"/>
      <w:r>
        <w:rPr>
          <w:rFonts w:eastAsia="Times New Roman" w:cs="Calibri"/>
          <w:lang w:eastAsia="hr-HR"/>
        </w:rPr>
        <w:t xml:space="preserve"> Bašić, i </w:t>
      </w:r>
      <w:proofErr w:type="spellStart"/>
      <w:r>
        <w:rPr>
          <w:rFonts w:eastAsia="Times New Roman" w:cs="Calibri"/>
          <w:lang w:eastAsia="hr-HR"/>
        </w:rPr>
        <w:t>isknjiženje</w:t>
      </w:r>
      <w:proofErr w:type="spellEnd"/>
      <w:r>
        <w:rPr>
          <w:rFonts w:eastAsia="Times New Roman" w:cs="Calibri"/>
          <w:lang w:eastAsia="hr-HR"/>
        </w:rPr>
        <w:t xml:space="preserve"> stana u iznosu 523.880 kn.</w:t>
      </w:r>
    </w:p>
    <w:p w:rsidR="0079684E" w:rsidRDefault="0079684E" w:rsidP="0079684E">
      <w:pPr>
        <w:pStyle w:val="ListParagraph"/>
        <w:numPr>
          <w:ilvl w:val="0"/>
          <w:numId w:val="23"/>
        </w:numPr>
        <w:autoSpaceDN w:val="0"/>
        <w:spacing w:after="0" w:line="240" w:lineRule="auto"/>
        <w:contextualSpacing w:val="0"/>
        <w:jc w:val="both"/>
        <w:rPr>
          <w:rFonts w:eastAsia="Times New Roman" w:cs="Calibri"/>
          <w:lang w:eastAsia="hr-HR"/>
        </w:rPr>
      </w:pPr>
      <w:r>
        <w:rPr>
          <w:rFonts w:eastAsia="Times New Roman" w:cs="Calibri"/>
          <w:lang w:eastAsia="hr-HR"/>
        </w:rPr>
        <w:t xml:space="preserve">sitni inventar (AOP 023) – </w:t>
      </w:r>
      <w:proofErr w:type="spellStart"/>
      <w:r>
        <w:rPr>
          <w:rFonts w:eastAsia="Times New Roman" w:cs="Calibri"/>
          <w:lang w:eastAsia="hr-HR"/>
        </w:rPr>
        <w:t>isknjiženje</w:t>
      </w:r>
      <w:proofErr w:type="spellEnd"/>
      <w:r>
        <w:rPr>
          <w:rFonts w:eastAsia="Times New Roman" w:cs="Calibri"/>
          <w:lang w:eastAsia="hr-HR"/>
        </w:rPr>
        <w:t xml:space="preserve"> dotrajalog, rashodovanog sitnog inventara te inventurnog manjka u iznosu 173.671 kn.</w:t>
      </w:r>
    </w:p>
    <w:p w:rsidR="0079684E" w:rsidRDefault="0079684E" w:rsidP="0079684E">
      <w:pPr>
        <w:pStyle w:val="ListParagraph"/>
        <w:numPr>
          <w:ilvl w:val="0"/>
          <w:numId w:val="23"/>
        </w:numPr>
        <w:autoSpaceDN w:val="0"/>
        <w:spacing w:after="0" w:line="240" w:lineRule="auto"/>
        <w:contextualSpacing w:val="0"/>
        <w:jc w:val="both"/>
        <w:rPr>
          <w:rFonts w:eastAsia="Times New Roman" w:cs="Calibri"/>
          <w:lang w:eastAsia="hr-HR"/>
        </w:rPr>
      </w:pPr>
      <w:r>
        <w:rPr>
          <w:rFonts w:eastAsia="Times New Roman" w:cs="Calibri"/>
          <w:lang w:eastAsia="hr-HR"/>
        </w:rPr>
        <w:t>proizvedenu kratkotrajnu imovinu (AOP 025) - prijenos  zaštitne medicinske opreme radi sprečavanja širenja virusa COVID 19 proračunskim korisnicima  u iznosu 11.022.251 kuna i</w:t>
      </w:r>
    </w:p>
    <w:p w:rsidR="0079684E" w:rsidRDefault="0079684E" w:rsidP="0079684E">
      <w:pPr>
        <w:pStyle w:val="ListParagraph"/>
        <w:spacing w:after="0"/>
        <w:ind w:left="0"/>
        <w:jc w:val="both"/>
        <w:rPr>
          <w:rFonts w:eastAsia="Times New Roman" w:cs="Calibri"/>
          <w:b/>
          <w:lang w:eastAsia="hr-HR"/>
        </w:rPr>
      </w:pPr>
    </w:p>
    <w:p w:rsidR="0079684E" w:rsidRDefault="0079684E" w:rsidP="0079684E">
      <w:pPr>
        <w:pStyle w:val="ListParagraph"/>
        <w:spacing w:after="0"/>
        <w:ind w:left="0"/>
        <w:jc w:val="both"/>
        <w:rPr>
          <w:rFonts w:eastAsia="Times New Roman" w:cs="Calibri"/>
          <w:b/>
          <w:lang w:eastAsia="hr-HR"/>
        </w:rPr>
      </w:pPr>
      <w:r>
        <w:rPr>
          <w:rFonts w:eastAsia="Times New Roman" w:cs="Calibri"/>
          <w:b/>
          <w:lang w:eastAsia="hr-HR"/>
        </w:rPr>
        <w:t>Bilješka br. 4 – AOP 026 Promjene u obujmu financijske imovine</w:t>
      </w:r>
    </w:p>
    <w:p w:rsidR="0079684E" w:rsidRDefault="0079684E" w:rsidP="0079684E">
      <w:pPr>
        <w:pStyle w:val="ListParagraph"/>
        <w:spacing w:after="0"/>
        <w:ind w:left="0"/>
        <w:jc w:val="both"/>
        <w:rPr>
          <w:rFonts w:eastAsia="Times New Roman" w:cs="Calibri"/>
          <w:lang w:eastAsia="hr-HR"/>
        </w:rPr>
      </w:pPr>
    </w:p>
    <w:p w:rsidR="0079684E" w:rsidRDefault="0079684E" w:rsidP="0079684E">
      <w:pPr>
        <w:pStyle w:val="ListParagraph"/>
        <w:spacing w:after="0"/>
        <w:ind w:left="0"/>
        <w:jc w:val="both"/>
        <w:rPr>
          <w:rFonts w:eastAsia="Times New Roman" w:cs="Calibri"/>
          <w:lang w:eastAsia="hr-HR"/>
        </w:rPr>
      </w:pPr>
      <w:r>
        <w:rPr>
          <w:rFonts w:eastAsia="Times New Roman" w:cs="Calibri"/>
          <w:lang w:eastAsia="hr-HR"/>
        </w:rPr>
        <w:t xml:space="preserve">Smanjenje u obujmu financijske imovine iznosi </w:t>
      </w:r>
      <w:r w:rsidR="003451C3">
        <w:rPr>
          <w:rFonts w:eastAsia="Times New Roman" w:cs="Calibri"/>
          <w:lang w:eastAsia="hr-HR"/>
        </w:rPr>
        <w:t>153.926.162</w:t>
      </w:r>
      <w:r>
        <w:rPr>
          <w:rFonts w:eastAsia="Times New Roman" w:cs="Calibri"/>
          <w:lang w:eastAsia="hr-HR"/>
        </w:rPr>
        <w:t xml:space="preserve"> kn, od čega se </w:t>
      </w:r>
      <w:r w:rsidR="003451C3">
        <w:rPr>
          <w:rFonts w:eastAsia="Times New Roman" w:cs="Calibri"/>
          <w:lang w:eastAsia="hr-HR"/>
        </w:rPr>
        <w:t>153.836.569</w:t>
      </w:r>
      <w:r>
        <w:rPr>
          <w:rFonts w:eastAsia="Times New Roman" w:cs="Calibri"/>
          <w:lang w:eastAsia="hr-HR"/>
        </w:rPr>
        <w:t xml:space="preserve"> kn odnosi na otpis potraživanja za prihode poslovanja od zakupnina, stanarina, komunalne naknade i dr. troškova temeljem odluka gradske skupštine i zaključaka gradonačelnika.</w:t>
      </w:r>
    </w:p>
    <w:p w:rsidR="00A234C4" w:rsidRDefault="00A234C4" w:rsidP="009F6146">
      <w:pPr>
        <w:autoSpaceDE w:val="0"/>
        <w:autoSpaceDN w:val="0"/>
        <w:adjustRightInd w:val="0"/>
        <w:spacing w:after="0" w:line="240" w:lineRule="auto"/>
        <w:jc w:val="both"/>
        <w:rPr>
          <w:sz w:val="28"/>
          <w:szCs w:val="28"/>
        </w:rPr>
      </w:pPr>
    </w:p>
    <w:p w:rsidR="004120DD" w:rsidRDefault="004120DD" w:rsidP="009F6146">
      <w:pPr>
        <w:autoSpaceDE w:val="0"/>
        <w:autoSpaceDN w:val="0"/>
        <w:adjustRightInd w:val="0"/>
        <w:spacing w:after="0" w:line="240" w:lineRule="auto"/>
        <w:jc w:val="both"/>
        <w:rPr>
          <w:sz w:val="28"/>
          <w:szCs w:val="28"/>
        </w:rPr>
      </w:pPr>
    </w:p>
    <w:p w:rsidR="009F6146" w:rsidRDefault="009F6146" w:rsidP="009F6146">
      <w:pPr>
        <w:autoSpaceDE w:val="0"/>
        <w:autoSpaceDN w:val="0"/>
        <w:adjustRightInd w:val="0"/>
        <w:spacing w:after="0" w:line="240" w:lineRule="auto"/>
        <w:jc w:val="both"/>
        <w:rPr>
          <w:sz w:val="28"/>
          <w:szCs w:val="28"/>
        </w:rPr>
      </w:pPr>
      <w:r w:rsidRPr="004D5F48">
        <w:rPr>
          <w:sz w:val="28"/>
          <w:szCs w:val="28"/>
        </w:rPr>
        <w:t>BILJEŠKE UZ OBRAZAC BILANCA</w:t>
      </w:r>
    </w:p>
    <w:p w:rsidR="009F6146" w:rsidRPr="004D5F48" w:rsidRDefault="009F6146" w:rsidP="009F6146">
      <w:pPr>
        <w:autoSpaceDE w:val="0"/>
        <w:autoSpaceDN w:val="0"/>
        <w:adjustRightInd w:val="0"/>
        <w:spacing w:after="0" w:line="240" w:lineRule="auto"/>
        <w:jc w:val="both"/>
        <w:rPr>
          <w:rFonts w:cstheme="minorHAnsi"/>
        </w:rPr>
      </w:pPr>
    </w:p>
    <w:p w:rsidR="009F6146" w:rsidRDefault="009F6146" w:rsidP="009F6146">
      <w:pPr>
        <w:jc w:val="both"/>
      </w:pPr>
      <w:r>
        <w:t>Ukupna imovina Grada na dan 31.12.2020. iznosi 19.012.789.056</w:t>
      </w:r>
      <w:r w:rsidRPr="00240DE8">
        <w:t xml:space="preserve"> kn i u odnosu na prethodnu godinu </w:t>
      </w:r>
      <w:r>
        <w:t>povećana</w:t>
      </w:r>
      <w:r w:rsidRPr="00240DE8">
        <w:t xml:space="preserve"> je za </w:t>
      </w:r>
      <w:r>
        <w:t>462.608.410</w:t>
      </w:r>
      <w:r w:rsidRPr="00240DE8">
        <w:t xml:space="preserve"> kn. Nefinancijska imovina čini </w:t>
      </w:r>
      <w:r w:rsidRPr="00D712A1">
        <w:t>74% aktive, a ostalih 26%</w:t>
      </w:r>
      <w:r w:rsidRPr="00240DE8">
        <w:t xml:space="preserve"> čini</w:t>
      </w:r>
      <w:r>
        <w:t xml:space="preserve"> financijska imovina.</w:t>
      </w:r>
    </w:p>
    <w:tbl>
      <w:tblPr>
        <w:tblStyle w:val="TableGrid"/>
        <w:tblW w:w="9073" w:type="dxa"/>
        <w:tblInd w:w="-5" w:type="dxa"/>
        <w:tblLayout w:type="fixed"/>
        <w:tblLook w:val="04A0" w:firstRow="1" w:lastRow="0" w:firstColumn="1" w:lastColumn="0" w:noHBand="0" w:noVBand="1"/>
      </w:tblPr>
      <w:tblGrid>
        <w:gridCol w:w="2552"/>
        <w:gridCol w:w="567"/>
        <w:gridCol w:w="1701"/>
        <w:gridCol w:w="1701"/>
        <w:gridCol w:w="993"/>
        <w:gridCol w:w="1559"/>
      </w:tblGrid>
      <w:tr w:rsidR="009F6146" w:rsidRPr="00774066" w:rsidTr="009F6146">
        <w:trPr>
          <w:trHeight w:val="600"/>
        </w:trPr>
        <w:tc>
          <w:tcPr>
            <w:tcW w:w="2552" w:type="dxa"/>
            <w:shd w:val="clear" w:color="auto" w:fill="DEEAF6" w:themeFill="accent1" w:themeFillTint="33"/>
            <w:vAlign w:val="center"/>
            <w:hideMark/>
          </w:tcPr>
          <w:p w:rsidR="009F6146" w:rsidRPr="00774066" w:rsidRDefault="009F6146" w:rsidP="009F6146">
            <w:pPr>
              <w:jc w:val="center"/>
            </w:pPr>
            <w:r w:rsidRPr="00774066">
              <w:t>OPIS</w:t>
            </w:r>
          </w:p>
        </w:tc>
        <w:tc>
          <w:tcPr>
            <w:tcW w:w="567" w:type="dxa"/>
            <w:shd w:val="clear" w:color="auto" w:fill="DEEAF6" w:themeFill="accent1" w:themeFillTint="33"/>
            <w:noWrap/>
            <w:vAlign w:val="center"/>
            <w:hideMark/>
          </w:tcPr>
          <w:p w:rsidR="009F6146" w:rsidRPr="00184923" w:rsidRDefault="009F6146" w:rsidP="009F6146">
            <w:pPr>
              <w:jc w:val="center"/>
              <w:rPr>
                <w:b/>
                <w:sz w:val="16"/>
                <w:szCs w:val="16"/>
              </w:rPr>
            </w:pPr>
            <w:r w:rsidRPr="00184923">
              <w:rPr>
                <w:b/>
                <w:sz w:val="16"/>
                <w:szCs w:val="16"/>
              </w:rPr>
              <w:t>AOP</w:t>
            </w:r>
          </w:p>
        </w:tc>
        <w:tc>
          <w:tcPr>
            <w:tcW w:w="1701"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701"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93" w:type="dxa"/>
            <w:shd w:val="clear" w:color="auto" w:fill="DEEAF6" w:themeFill="accent1" w:themeFillTint="33"/>
            <w:hideMark/>
          </w:tcPr>
          <w:p w:rsidR="009F6146" w:rsidRPr="00942154" w:rsidRDefault="009F6146" w:rsidP="009F6146">
            <w:pPr>
              <w:rPr>
                <w:sz w:val="20"/>
                <w:szCs w:val="20"/>
              </w:rPr>
            </w:pPr>
            <w:r w:rsidRPr="00942154">
              <w:rPr>
                <w:sz w:val="20"/>
                <w:szCs w:val="20"/>
              </w:rPr>
              <w:t>Indeks 5/4*100</w:t>
            </w:r>
          </w:p>
        </w:tc>
        <w:tc>
          <w:tcPr>
            <w:tcW w:w="1559" w:type="dxa"/>
            <w:shd w:val="clear" w:color="auto" w:fill="DEEAF6" w:themeFill="accent1" w:themeFillTint="33"/>
            <w:vAlign w:val="center"/>
            <w:hideMark/>
          </w:tcPr>
          <w:p w:rsidR="009F6146" w:rsidRPr="00774066" w:rsidRDefault="009F6146" w:rsidP="009F6146">
            <w:pPr>
              <w:jc w:val="center"/>
            </w:pPr>
            <w:r w:rsidRPr="00774066">
              <w:t>Povećanje</w:t>
            </w:r>
            <w:r>
              <w:t>/ Smanjenje</w:t>
            </w:r>
          </w:p>
        </w:tc>
      </w:tr>
      <w:tr w:rsidR="009F6146" w:rsidRPr="00774066" w:rsidTr="009F6146">
        <w:trPr>
          <w:trHeight w:val="195"/>
        </w:trPr>
        <w:tc>
          <w:tcPr>
            <w:tcW w:w="2552" w:type="dxa"/>
            <w:shd w:val="clear" w:color="auto" w:fill="DEEAF6" w:themeFill="accent1" w:themeFillTint="33"/>
            <w:hideMark/>
          </w:tcPr>
          <w:p w:rsidR="009F6146" w:rsidRPr="00774066" w:rsidRDefault="009F6146" w:rsidP="009F6146">
            <w:pPr>
              <w:jc w:val="center"/>
              <w:rPr>
                <w:sz w:val="16"/>
                <w:szCs w:val="16"/>
              </w:rPr>
            </w:pPr>
            <w:r>
              <w:rPr>
                <w:sz w:val="16"/>
                <w:szCs w:val="16"/>
              </w:rPr>
              <w:t>1</w:t>
            </w:r>
          </w:p>
        </w:tc>
        <w:tc>
          <w:tcPr>
            <w:tcW w:w="567" w:type="dxa"/>
            <w:shd w:val="clear" w:color="auto" w:fill="DEEAF6" w:themeFill="accent1" w:themeFillTint="33"/>
            <w:noWrap/>
            <w:hideMark/>
          </w:tcPr>
          <w:p w:rsidR="009F6146" w:rsidRPr="00774066" w:rsidRDefault="009F6146" w:rsidP="009F6146">
            <w:pPr>
              <w:jc w:val="center"/>
              <w:rPr>
                <w:sz w:val="16"/>
                <w:szCs w:val="16"/>
              </w:rPr>
            </w:pPr>
            <w:r>
              <w:rPr>
                <w:sz w:val="16"/>
                <w:szCs w:val="16"/>
              </w:rPr>
              <w:t>2</w:t>
            </w:r>
          </w:p>
        </w:tc>
        <w:tc>
          <w:tcPr>
            <w:tcW w:w="1701" w:type="dxa"/>
            <w:shd w:val="clear" w:color="auto" w:fill="DEEAF6" w:themeFill="accent1" w:themeFillTint="33"/>
            <w:noWrap/>
            <w:hideMark/>
          </w:tcPr>
          <w:p w:rsidR="009F6146" w:rsidRPr="00774066" w:rsidRDefault="009F6146" w:rsidP="009F6146">
            <w:pPr>
              <w:jc w:val="center"/>
              <w:rPr>
                <w:sz w:val="16"/>
                <w:szCs w:val="16"/>
              </w:rPr>
            </w:pPr>
            <w:r>
              <w:rPr>
                <w:sz w:val="16"/>
                <w:szCs w:val="16"/>
              </w:rPr>
              <w:t>3</w:t>
            </w:r>
          </w:p>
        </w:tc>
        <w:tc>
          <w:tcPr>
            <w:tcW w:w="1701" w:type="dxa"/>
            <w:shd w:val="clear" w:color="auto" w:fill="DEEAF6" w:themeFill="accent1" w:themeFillTint="33"/>
            <w:noWrap/>
            <w:hideMark/>
          </w:tcPr>
          <w:p w:rsidR="009F6146" w:rsidRPr="00774066" w:rsidRDefault="009F6146" w:rsidP="009F6146">
            <w:pPr>
              <w:jc w:val="center"/>
              <w:rPr>
                <w:sz w:val="16"/>
                <w:szCs w:val="16"/>
              </w:rPr>
            </w:pPr>
            <w:r>
              <w:rPr>
                <w:sz w:val="16"/>
                <w:szCs w:val="16"/>
              </w:rPr>
              <w:t>4</w:t>
            </w:r>
          </w:p>
        </w:tc>
        <w:tc>
          <w:tcPr>
            <w:tcW w:w="993" w:type="dxa"/>
            <w:shd w:val="clear" w:color="auto" w:fill="DEEAF6" w:themeFill="accent1" w:themeFillTint="33"/>
            <w:noWrap/>
            <w:hideMark/>
          </w:tcPr>
          <w:p w:rsidR="009F6146" w:rsidRPr="00774066" w:rsidRDefault="009F6146" w:rsidP="009F6146">
            <w:pPr>
              <w:jc w:val="center"/>
              <w:rPr>
                <w:sz w:val="16"/>
                <w:szCs w:val="16"/>
              </w:rPr>
            </w:pPr>
            <w:r>
              <w:rPr>
                <w:sz w:val="16"/>
                <w:szCs w:val="16"/>
              </w:rPr>
              <w:t>5</w:t>
            </w:r>
          </w:p>
        </w:tc>
        <w:tc>
          <w:tcPr>
            <w:tcW w:w="1559" w:type="dxa"/>
            <w:shd w:val="clear" w:color="auto" w:fill="DEEAF6" w:themeFill="accent1" w:themeFillTint="33"/>
            <w:noWrap/>
            <w:hideMark/>
          </w:tcPr>
          <w:p w:rsidR="009F6146" w:rsidRPr="00774066" w:rsidRDefault="009F6146" w:rsidP="009F6146">
            <w:pPr>
              <w:jc w:val="center"/>
              <w:rPr>
                <w:sz w:val="16"/>
                <w:szCs w:val="16"/>
              </w:rPr>
            </w:pPr>
            <w:r>
              <w:rPr>
                <w:sz w:val="16"/>
                <w:szCs w:val="16"/>
              </w:rPr>
              <w:t>6</w:t>
            </w:r>
            <w:r w:rsidRPr="008647FA">
              <w:rPr>
                <w:sz w:val="16"/>
                <w:szCs w:val="16"/>
              </w:rPr>
              <w:t>=</w:t>
            </w:r>
            <w:r>
              <w:rPr>
                <w:sz w:val="16"/>
                <w:szCs w:val="16"/>
              </w:rPr>
              <w:t>4</w:t>
            </w:r>
            <w:r w:rsidRPr="008647FA">
              <w:rPr>
                <w:sz w:val="16"/>
                <w:szCs w:val="16"/>
              </w:rPr>
              <w:t>-</w:t>
            </w:r>
            <w:r>
              <w:rPr>
                <w:sz w:val="16"/>
                <w:szCs w:val="16"/>
              </w:rPr>
              <w:t>3</w:t>
            </w:r>
          </w:p>
        </w:tc>
      </w:tr>
      <w:tr w:rsidR="009F6146" w:rsidRPr="00774066" w:rsidTr="009F6146">
        <w:trPr>
          <w:trHeight w:val="300"/>
        </w:trPr>
        <w:tc>
          <w:tcPr>
            <w:tcW w:w="2552" w:type="dxa"/>
            <w:vAlign w:val="center"/>
            <w:hideMark/>
          </w:tcPr>
          <w:p w:rsidR="009F6146" w:rsidRPr="00942154" w:rsidRDefault="009F6146" w:rsidP="009F6146">
            <w:pPr>
              <w:rPr>
                <w:bCs/>
              </w:rPr>
            </w:pPr>
            <w:r w:rsidRPr="00942154">
              <w:rPr>
                <w:bCs/>
              </w:rPr>
              <w:t xml:space="preserve">Nefinancijska imovina </w:t>
            </w:r>
          </w:p>
        </w:tc>
        <w:tc>
          <w:tcPr>
            <w:tcW w:w="567" w:type="dxa"/>
            <w:noWrap/>
            <w:hideMark/>
          </w:tcPr>
          <w:p w:rsidR="009F6146" w:rsidRPr="00942154" w:rsidRDefault="009F6146" w:rsidP="009F6146">
            <w:pPr>
              <w:jc w:val="right"/>
              <w:rPr>
                <w:bCs/>
              </w:rPr>
            </w:pPr>
            <w:r w:rsidRPr="00942154">
              <w:rPr>
                <w:bCs/>
              </w:rPr>
              <w:t>002</w:t>
            </w:r>
          </w:p>
        </w:tc>
        <w:tc>
          <w:tcPr>
            <w:tcW w:w="1701" w:type="dxa"/>
            <w:noWrap/>
            <w:hideMark/>
          </w:tcPr>
          <w:p w:rsidR="009F6146" w:rsidRPr="002A5034" w:rsidRDefault="009F6146" w:rsidP="009F6146">
            <w:pPr>
              <w:jc w:val="right"/>
            </w:pPr>
            <w:r>
              <w:rPr>
                <w:bCs/>
              </w:rPr>
              <w:t>13.516.535.525</w:t>
            </w:r>
          </w:p>
        </w:tc>
        <w:tc>
          <w:tcPr>
            <w:tcW w:w="1701" w:type="dxa"/>
            <w:noWrap/>
          </w:tcPr>
          <w:p w:rsidR="009F6146" w:rsidRPr="00942154" w:rsidRDefault="009F6146" w:rsidP="009F6146">
            <w:pPr>
              <w:jc w:val="right"/>
              <w:rPr>
                <w:bCs/>
              </w:rPr>
            </w:pPr>
            <w:r>
              <w:rPr>
                <w:bCs/>
              </w:rPr>
              <w:t>14.089.019.398</w:t>
            </w:r>
          </w:p>
        </w:tc>
        <w:tc>
          <w:tcPr>
            <w:tcW w:w="993" w:type="dxa"/>
            <w:noWrap/>
            <w:vAlign w:val="center"/>
          </w:tcPr>
          <w:p w:rsidR="009F6146" w:rsidRPr="00942154" w:rsidRDefault="009F6146" w:rsidP="009F6146">
            <w:pPr>
              <w:jc w:val="right"/>
              <w:rPr>
                <w:bCs/>
              </w:rPr>
            </w:pPr>
            <w:r>
              <w:rPr>
                <w:bCs/>
              </w:rPr>
              <w:t>104,2</w:t>
            </w:r>
          </w:p>
        </w:tc>
        <w:tc>
          <w:tcPr>
            <w:tcW w:w="1559" w:type="dxa"/>
            <w:noWrap/>
          </w:tcPr>
          <w:p w:rsidR="009F6146" w:rsidRPr="00942154" w:rsidRDefault="009F6146" w:rsidP="009F6146">
            <w:pPr>
              <w:jc w:val="right"/>
              <w:rPr>
                <w:bCs/>
              </w:rPr>
            </w:pPr>
            <w:r>
              <w:rPr>
                <w:bCs/>
              </w:rPr>
              <w:t>572.483.873</w:t>
            </w:r>
          </w:p>
        </w:tc>
      </w:tr>
      <w:tr w:rsidR="009F6146" w:rsidRPr="00774066" w:rsidTr="009F6146">
        <w:trPr>
          <w:trHeight w:val="300"/>
        </w:trPr>
        <w:tc>
          <w:tcPr>
            <w:tcW w:w="2552" w:type="dxa"/>
            <w:vAlign w:val="center"/>
          </w:tcPr>
          <w:p w:rsidR="009F6146" w:rsidRPr="00942154" w:rsidRDefault="009F6146" w:rsidP="009F6146">
            <w:pPr>
              <w:rPr>
                <w:bCs/>
              </w:rPr>
            </w:pPr>
            <w:r w:rsidRPr="00942154">
              <w:rPr>
                <w:bCs/>
              </w:rPr>
              <w:t>Financijska imovina</w:t>
            </w:r>
          </w:p>
        </w:tc>
        <w:tc>
          <w:tcPr>
            <w:tcW w:w="567" w:type="dxa"/>
            <w:noWrap/>
            <w:vAlign w:val="center"/>
          </w:tcPr>
          <w:p w:rsidR="009F6146" w:rsidRPr="00942154" w:rsidRDefault="009F6146" w:rsidP="009F6146">
            <w:pPr>
              <w:jc w:val="right"/>
              <w:rPr>
                <w:bCs/>
              </w:rPr>
            </w:pPr>
            <w:r w:rsidRPr="00942154">
              <w:rPr>
                <w:bCs/>
              </w:rPr>
              <w:t>063</w:t>
            </w:r>
          </w:p>
        </w:tc>
        <w:tc>
          <w:tcPr>
            <w:tcW w:w="1701" w:type="dxa"/>
            <w:noWrap/>
          </w:tcPr>
          <w:p w:rsidR="009F6146" w:rsidRDefault="009F6146" w:rsidP="009F6146">
            <w:pPr>
              <w:jc w:val="right"/>
            </w:pPr>
            <w:r>
              <w:t>5.033.645.121</w:t>
            </w:r>
          </w:p>
        </w:tc>
        <w:tc>
          <w:tcPr>
            <w:tcW w:w="1701" w:type="dxa"/>
            <w:noWrap/>
            <w:vAlign w:val="center"/>
          </w:tcPr>
          <w:p w:rsidR="009F6146" w:rsidRPr="00942154" w:rsidRDefault="009F6146" w:rsidP="009F6146">
            <w:pPr>
              <w:jc w:val="right"/>
              <w:rPr>
                <w:bCs/>
              </w:rPr>
            </w:pPr>
            <w:r>
              <w:rPr>
                <w:bCs/>
              </w:rPr>
              <w:t>4.923.769.658</w:t>
            </w:r>
          </w:p>
        </w:tc>
        <w:tc>
          <w:tcPr>
            <w:tcW w:w="993" w:type="dxa"/>
            <w:noWrap/>
            <w:vAlign w:val="center"/>
          </w:tcPr>
          <w:p w:rsidR="009F6146" w:rsidRPr="00942154" w:rsidRDefault="009F6146" w:rsidP="009F6146">
            <w:pPr>
              <w:jc w:val="right"/>
              <w:rPr>
                <w:bCs/>
              </w:rPr>
            </w:pPr>
            <w:r>
              <w:rPr>
                <w:bCs/>
              </w:rPr>
              <w:t>97,8</w:t>
            </w:r>
          </w:p>
        </w:tc>
        <w:tc>
          <w:tcPr>
            <w:tcW w:w="1559" w:type="dxa"/>
            <w:noWrap/>
            <w:vAlign w:val="center"/>
          </w:tcPr>
          <w:p w:rsidR="009F6146" w:rsidRPr="00942154" w:rsidRDefault="009F6146" w:rsidP="009F6146">
            <w:pPr>
              <w:jc w:val="right"/>
              <w:rPr>
                <w:bCs/>
              </w:rPr>
            </w:pPr>
            <w:r>
              <w:rPr>
                <w:bCs/>
              </w:rPr>
              <w:t>-109.875.463</w:t>
            </w:r>
          </w:p>
        </w:tc>
      </w:tr>
    </w:tbl>
    <w:p w:rsidR="009F6146" w:rsidRDefault="009F6146" w:rsidP="009F6146">
      <w:pPr>
        <w:spacing w:after="0"/>
      </w:pPr>
    </w:p>
    <w:p w:rsidR="004F1269" w:rsidRDefault="004F1269" w:rsidP="009F6146"/>
    <w:p w:rsidR="009F6146" w:rsidRDefault="009F6146" w:rsidP="009F6146">
      <w:r w:rsidRPr="00D61E11">
        <w:rPr>
          <w:b/>
        </w:rPr>
        <w:t xml:space="preserve">Bilješka br. </w:t>
      </w:r>
      <w:r>
        <w:rPr>
          <w:b/>
        </w:rPr>
        <w:t>1</w:t>
      </w:r>
      <w:r>
        <w:t xml:space="preserve"> – </w:t>
      </w:r>
      <w:r w:rsidRPr="00360207">
        <w:rPr>
          <w:b/>
        </w:rPr>
        <w:t>AOP 005 Nematerijalna imovina</w:t>
      </w:r>
    </w:p>
    <w:tbl>
      <w:tblPr>
        <w:tblStyle w:val="TableGrid"/>
        <w:tblW w:w="0" w:type="auto"/>
        <w:tblLook w:val="04A0" w:firstRow="1" w:lastRow="0" w:firstColumn="1" w:lastColumn="0" w:noHBand="0" w:noVBand="1"/>
      </w:tblPr>
      <w:tblGrid>
        <w:gridCol w:w="864"/>
        <w:gridCol w:w="2007"/>
        <w:gridCol w:w="603"/>
        <w:gridCol w:w="1640"/>
        <w:gridCol w:w="1619"/>
        <w:gridCol w:w="969"/>
        <w:gridCol w:w="1360"/>
      </w:tblGrid>
      <w:tr w:rsidR="009F6146" w:rsidRPr="00774066" w:rsidTr="009F6146">
        <w:trPr>
          <w:trHeight w:val="600"/>
        </w:trPr>
        <w:tc>
          <w:tcPr>
            <w:tcW w:w="864"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2007" w:type="dxa"/>
            <w:shd w:val="clear" w:color="auto" w:fill="DEEAF6" w:themeFill="accent1" w:themeFillTint="33"/>
            <w:vAlign w:val="center"/>
            <w:hideMark/>
          </w:tcPr>
          <w:p w:rsidR="009F6146" w:rsidRPr="00774066" w:rsidRDefault="009F6146" w:rsidP="009F6146">
            <w:pPr>
              <w:jc w:val="center"/>
            </w:pPr>
            <w:r w:rsidRPr="00774066">
              <w:t>OPIS</w:t>
            </w:r>
          </w:p>
        </w:tc>
        <w:tc>
          <w:tcPr>
            <w:tcW w:w="603"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E14948">
              <w:t>Stanje 01.01.</w:t>
            </w:r>
            <w:r>
              <w:t>20</w:t>
            </w:r>
            <w:r w:rsidRPr="00E14948">
              <w:t>.</w:t>
            </w:r>
          </w:p>
        </w:tc>
        <w:tc>
          <w:tcPr>
            <w:tcW w:w="161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69"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360" w:type="dxa"/>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864"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2007" w:type="dxa"/>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60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1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6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360"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774066" w:rsidTr="009F6146">
        <w:trPr>
          <w:trHeight w:val="300"/>
        </w:trPr>
        <w:tc>
          <w:tcPr>
            <w:tcW w:w="864" w:type="dxa"/>
            <w:noWrap/>
            <w:vAlign w:val="center"/>
            <w:hideMark/>
          </w:tcPr>
          <w:p w:rsidR="009F6146" w:rsidRPr="00774066" w:rsidRDefault="009F6146" w:rsidP="009F6146">
            <w:pPr>
              <w:jc w:val="right"/>
            </w:pPr>
            <w:r w:rsidRPr="00774066">
              <w:t>012</w:t>
            </w:r>
          </w:p>
        </w:tc>
        <w:tc>
          <w:tcPr>
            <w:tcW w:w="2007" w:type="dxa"/>
            <w:vAlign w:val="center"/>
            <w:hideMark/>
          </w:tcPr>
          <w:p w:rsidR="009F6146" w:rsidRPr="00774066" w:rsidRDefault="009F6146" w:rsidP="009F6146">
            <w:r w:rsidRPr="00774066">
              <w:t xml:space="preserve">Nematerijalna imovina </w:t>
            </w:r>
          </w:p>
        </w:tc>
        <w:tc>
          <w:tcPr>
            <w:tcW w:w="603" w:type="dxa"/>
            <w:noWrap/>
            <w:vAlign w:val="center"/>
            <w:hideMark/>
          </w:tcPr>
          <w:p w:rsidR="009F6146" w:rsidRPr="00774066" w:rsidRDefault="009F6146" w:rsidP="009F6146">
            <w:pPr>
              <w:jc w:val="right"/>
            </w:pPr>
            <w:r>
              <w:t>00</w:t>
            </w:r>
            <w:r w:rsidRPr="00774066">
              <w:t>5</w:t>
            </w:r>
          </w:p>
        </w:tc>
        <w:tc>
          <w:tcPr>
            <w:tcW w:w="1640" w:type="dxa"/>
            <w:noWrap/>
            <w:vAlign w:val="center"/>
            <w:hideMark/>
          </w:tcPr>
          <w:p w:rsidR="009F6146" w:rsidRPr="00774066" w:rsidRDefault="009F6146" w:rsidP="009F6146">
            <w:pPr>
              <w:jc w:val="right"/>
            </w:pPr>
            <w:r>
              <w:t>141.750.282</w:t>
            </w:r>
          </w:p>
        </w:tc>
        <w:tc>
          <w:tcPr>
            <w:tcW w:w="1619" w:type="dxa"/>
            <w:noWrap/>
            <w:vAlign w:val="center"/>
            <w:hideMark/>
          </w:tcPr>
          <w:p w:rsidR="009F6146" w:rsidRPr="00774066" w:rsidRDefault="009F6146" w:rsidP="009F6146">
            <w:pPr>
              <w:jc w:val="right"/>
            </w:pPr>
            <w:r>
              <w:t>206.983.936</w:t>
            </w:r>
          </w:p>
        </w:tc>
        <w:tc>
          <w:tcPr>
            <w:tcW w:w="969" w:type="dxa"/>
            <w:noWrap/>
            <w:vAlign w:val="center"/>
          </w:tcPr>
          <w:p w:rsidR="009F6146" w:rsidRPr="00774066" w:rsidRDefault="009F6146" w:rsidP="009F6146">
            <w:pPr>
              <w:jc w:val="right"/>
            </w:pPr>
            <w:r>
              <w:t>146</w:t>
            </w:r>
          </w:p>
        </w:tc>
        <w:tc>
          <w:tcPr>
            <w:tcW w:w="1360" w:type="dxa"/>
            <w:noWrap/>
            <w:vAlign w:val="center"/>
          </w:tcPr>
          <w:p w:rsidR="009F6146" w:rsidRPr="00774066" w:rsidRDefault="009F6146" w:rsidP="009F6146">
            <w:pPr>
              <w:jc w:val="right"/>
            </w:pPr>
            <w:r>
              <w:t>65.233.654</w:t>
            </w:r>
          </w:p>
        </w:tc>
      </w:tr>
    </w:tbl>
    <w:p w:rsidR="009F6146" w:rsidRDefault="009F6146" w:rsidP="009F6146">
      <w:pPr>
        <w:spacing w:after="0"/>
      </w:pPr>
    </w:p>
    <w:p w:rsidR="009F6146" w:rsidRPr="00113603" w:rsidRDefault="009F6146" w:rsidP="009F6146">
      <w:pPr>
        <w:jc w:val="both"/>
      </w:pPr>
      <w:r>
        <w:t xml:space="preserve">Nematerijalna imovina povećana je za 65.233.654 kn, odnosno </w:t>
      </w:r>
      <w:r w:rsidRPr="00414689">
        <w:t>46 %</w:t>
      </w:r>
      <w:r>
        <w:t xml:space="preserve"> u odnosu na prethodnu godinu. Povećanje je prvenstveno rezultat prijenosa vrijednosti investicija sa računa imovine u pripremi na </w:t>
      </w:r>
      <w:r>
        <w:lastRenderedPageBreak/>
        <w:t>račun ulaganja u tuđu imovinu radi prava korištenja 9 objekata (za obrazovanje, socijalu i medicinsku pomoć) u iznosu od 55.599.008 kn i za tijekom godine nabavljene licence u iznosu od 7.007.588 kn.</w:t>
      </w:r>
    </w:p>
    <w:p w:rsidR="009F6146" w:rsidRDefault="009F6146" w:rsidP="009F6146">
      <w:r w:rsidRPr="00D61E11">
        <w:rPr>
          <w:b/>
        </w:rPr>
        <w:t xml:space="preserve">Bilješka br. </w:t>
      </w:r>
      <w:r>
        <w:rPr>
          <w:b/>
        </w:rPr>
        <w:t>2</w:t>
      </w:r>
      <w:r>
        <w:t xml:space="preserve"> – </w:t>
      </w:r>
      <w:r w:rsidRPr="00360207">
        <w:rPr>
          <w:b/>
        </w:rPr>
        <w:t xml:space="preserve">AOP 006 Ispravak vrijednosti  </w:t>
      </w:r>
      <w:proofErr w:type="spellStart"/>
      <w:r w:rsidRPr="00360207">
        <w:rPr>
          <w:b/>
        </w:rPr>
        <w:t>neproizvedene</w:t>
      </w:r>
      <w:proofErr w:type="spellEnd"/>
      <w:r w:rsidRPr="00360207">
        <w:rPr>
          <w:b/>
        </w:rPr>
        <w:t xml:space="preserve"> dugotrajne imovine</w:t>
      </w:r>
    </w:p>
    <w:tbl>
      <w:tblPr>
        <w:tblStyle w:val="TableGrid"/>
        <w:tblW w:w="0" w:type="auto"/>
        <w:tblLook w:val="04A0" w:firstRow="1" w:lastRow="0" w:firstColumn="1" w:lastColumn="0" w:noHBand="0" w:noVBand="1"/>
      </w:tblPr>
      <w:tblGrid>
        <w:gridCol w:w="864"/>
        <w:gridCol w:w="2007"/>
        <w:gridCol w:w="603"/>
        <w:gridCol w:w="1640"/>
        <w:gridCol w:w="1619"/>
        <w:gridCol w:w="969"/>
        <w:gridCol w:w="1360"/>
      </w:tblGrid>
      <w:tr w:rsidR="009F6146" w:rsidRPr="00774066" w:rsidTr="009F6146">
        <w:trPr>
          <w:trHeight w:val="600"/>
        </w:trPr>
        <w:tc>
          <w:tcPr>
            <w:tcW w:w="864"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2233" w:type="dxa"/>
            <w:shd w:val="clear" w:color="auto" w:fill="DEEAF6" w:themeFill="accent1" w:themeFillTint="33"/>
            <w:vAlign w:val="center"/>
            <w:hideMark/>
          </w:tcPr>
          <w:p w:rsidR="009F6146" w:rsidRPr="00774066" w:rsidRDefault="009F6146" w:rsidP="009F6146">
            <w:pPr>
              <w:jc w:val="center"/>
            </w:pPr>
            <w:r w:rsidRPr="00774066">
              <w:t>OPIS</w:t>
            </w:r>
          </w:p>
        </w:tc>
        <w:tc>
          <w:tcPr>
            <w:tcW w:w="603"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61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69"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360" w:type="dxa"/>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864"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2233" w:type="dxa"/>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60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1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6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360"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774066" w:rsidTr="009F6146">
        <w:trPr>
          <w:trHeight w:val="300"/>
        </w:trPr>
        <w:tc>
          <w:tcPr>
            <w:tcW w:w="864" w:type="dxa"/>
            <w:noWrap/>
            <w:vAlign w:val="center"/>
            <w:hideMark/>
          </w:tcPr>
          <w:p w:rsidR="009F6146" w:rsidRPr="00774066" w:rsidRDefault="009F6146" w:rsidP="009F6146">
            <w:pPr>
              <w:jc w:val="right"/>
            </w:pPr>
            <w:r w:rsidRPr="00774066">
              <w:t>019</w:t>
            </w:r>
          </w:p>
        </w:tc>
        <w:tc>
          <w:tcPr>
            <w:tcW w:w="2233" w:type="dxa"/>
            <w:vAlign w:val="center"/>
            <w:hideMark/>
          </w:tcPr>
          <w:p w:rsidR="009F6146" w:rsidRPr="00774066" w:rsidRDefault="009F6146" w:rsidP="009F6146">
            <w:r w:rsidRPr="00774066">
              <w:t xml:space="preserve">Ispravak vrijednosti </w:t>
            </w:r>
            <w:proofErr w:type="spellStart"/>
            <w:r w:rsidRPr="00774066">
              <w:t>neproizvedene</w:t>
            </w:r>
            <w:proofErr w:type="spellEnd"/>
            <w:r w:rsidRPr="00774066">
              <w:t xml:space="preserve"> dugotrajne imovine</w:t>
            </w:r>
          </w:p>
        </w:tc>
        <w:tc>
          <w:tcPr>
            <w:tcW w:w="603" w:type="dxa"/>
            <w:noWrap/>
            <w:vAlign w:val="center"/>
            <w:hideMark/>
          </w:tcPr>
          <w:p w:rsidR="009F6146" w:rsidRPr="00774066" w:rsidRDefault="009F6146" w:rsidP="009F6146">
            <w:pPr>
              <w:jc w:val="right"/>
            </w:pPr>
            <w:r>
              <w:t>00</w:t>
            </w:r>
            <w:r w:rsidRPr="00774066">
              <w:t>6</w:t>
            </w:r>
          </w:p>
        </w:tc>
        <w:tc>
          <w:tcPr>
            <w:tcW w:w="1640" w:type="dxa"/>
            <w:noWrap/>
            <w:vAlign w:val="center"/>
            <w:hideMark/>
          </w:tcPr>
          <w:p w:rsidR="009F6146" w:rsidRPr="00774066" w:rsidRDefault="009F6146" w:rsidP="009F6146">
            <w:pPr>
              <w:jc w:val="right"/>
            </w:pPr>
            <w:r>
              <w:t>49.279.879</w:t>
            </w:r>
          </w:p>
        </w:tc>
        <w:tc>
          <w:tcPr>
            <w:tcW w:w="1619" w:type="dxa"/>
            <w:noWrap/>
            <w:vAlign w:val="center"/>
            <w:hideMark/>
          </w:tcPr>
          <w:p w:rsidR="009F6146" w:rsidRPr="00774066" w:rsidRDefault="009F6146" w:rsidP="009F6146">
            <w:pPr>
              <w:jc w:val="right"/>
            </w:pPr>
            <w:r>
              <w:t>107.135.829</w:t>
            </w:r>
          </w:p>
        </w:tc>
        <w:tc>
          <w:tcPr>
            <w:tcW w:w="969" w:type="dxa"/>
            <w:noWrap/>
            <w:vAlign w:val="center"/>
          </w:tcPr>
          <w:p w:rsidR="009F6146" w:rsidRPr="00774066" w:rsidRDefault="009F6146" w:rsidP="009F6146">
            <w:pPr>
              <w:jc w:val="right"/>
            </w:pPr>
            <w:r>
              <w:t>217,4</w:t>
            </w:r>
          </w:p>
        </w:tc>
        <w:tc>
          <w:tcPr>
            <w:tcW w:w="1360" w:type="dxa"/>
            <w:noWrap/>
            <w:vAlign w:val="center"/>
          </w:tcPr>
          <w:p w:rsidR="009F6146" w:rsidRPr="00774066" w:rsidRDefault="009F6146" w:rsidP="009F6146">
            <w:pPr>
              <w:jc w:val="right"/>
            </w:pPr>
            <w:r>
              <w:t>57.855.950</w:t>
            </w:r>
          </w:p>
        </w:tc>
      </w:tr>
    </w:tbl>
    <w:p w:rsidR="009F6146" w:rsidRDefault="009F6146" w:rsidP="009F6146">
      <w:pPr>
        <w:spacing w:after="0"/>
      </w:pPr>
    </w:p>
    <w:p w:rsidR="009F6146" w:rsidRDefault="009F6146" w:rsidP="009F6146">
      <w:pPr>
        <w:jc w:val="both"/>
      </w:pPr>
      <w:r>
        <w:t>Ispravak vrijednosti  nematerijalne imovine – licenca i prava korištenja tuđih sredstava proveden je prema stopi ispravka vrijednosti sukladno vijeku trajanja iz ugovora za izvještajnu godinu i prethodne godine za ulaganja u tuđu imovinu  radi prava korištenja objekata prebačenih s računa pripreme na račun imovine u upotrebi.</w:t>
      </w:r>
    </w:p>
    <w:p w:rsidR="009F6146" w:rsidRDefault="009F6146" w:rsidP="009F6146">
      <w:r w:rsidRPr="00D61E11">
        <w:rPr>
          <w:b/>
        </w:rPr>
        <w:t xml:space="preserve">Bilješka br. </w:t>
      </w:r>
      <w:r>
        <w:rPr>
          <w:b/>
        </w:rPr>
        <w:t>3</w:t>
      </w:r>
      <w:r>
        <w:t xml:space="preserve"> – </w:t>
      </w:r>
      <w:r w:rsidRPr="00360207">
        <w:rPr>
          <w:b/>
        </w:rPr>
        <w:t>AOP 009 Stambeni objekti</w:t>
      </w:r>
    </w:p>
    <w:tbl>
      <w:tblPr>
        <w:tblStyle w:val="TableGrid"/>
        <w:tblW w:w="0" w:type="auto"/>
        <w:tblLook w:val="04A0" w:firstRow="1" w:lastRow="0" w:firstColumn="1" w:lastColumn="0" w:noHBand="0" w:noVBand="1"/>
      </w:tblPr>
      <w:tblGrid>
        <w:gridCol w:w="864"/>
        <w:gridCol w:w="1941"/>
        <w:gridCol w:w="568"/>
        <w:gridCol w:w="1640"/>
        <w:gridCol w:w="1669"/>
        <w:gridCol w:w="973"/>
        <w:gridCol w:w="1407"/>
      </w:tblGrid>
      <w:tr w:rsidR="009F6146" w:rsidRPr="00774066" w:rsidTr="009F6146">
        <w:trPr>
          <w:trHeight w:val="600"/>
        </w:trPr>
        <w:tc>
          <w:tcPr>
            <w:tcW w:w="864"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1966" w:type="dxa"/>
            <w:shd w:val="clear" w:color="auto" w:fill="DEEAF6" w:themeFill="accent1" w:themeFillTint="33"/>
            <w:vAlign w:val="center"/>
            <w:hideMark/>
          </w:tcPr>
          <w:p w:rsidR="009F6146" w:rsidRPr="00774066" w:rsidRDefault="009F6146" w:rsidP="009F6146">
            <w:pPr>
              <w:jc w:val="center"/>
            </w:pPr>
            <w:r w:rsidRPr="00774066">
              <w:t>OPIS</w:t>
            </w:r>
          </w:p>
        </w:tc>
        <w:tc>
          <w:tcPr>
            <w:tcW w:w="543"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66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73"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9F6146" w:rsidRPr="00774066" w:rsidRDefault="009F6146" w:rsidP="009F6146">
            <w:pPr>
              <w:jc w:val="center"/>
            </w:pPr>
            <w:r>
              <w:t>Smanjenje</w:t>
            </w:r>
          </w:p>
        </w:tc>
      </w:tr>
      <w:tr w:rsidR="009F6146" w:rsidRPr="00774066" w:rsidTr="009F6146">
        <w:trPr>
          <w:trHeight w:val="195"/>
        </w:trPr>
        <w:tc>
          <w:tcPr>
            <w:tcW w:w="864"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1966" w:type="dxa"/>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54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6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7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407"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D7552E" w:rsidTr="009F6146">
        <w:trPr>
          <w:trHeight w:val="300"/>
        </w:trPr>
        <w:tc>
          <w:tcPr>
            <w:tcW w:w="864" w:type="dxa"/>
            <w:noWrap/>
            <w:vAlign w:val="center"/>
            <w:hideMark/>
          </w:tcPr>
          <w:p w:rsidR="009F6146" w:rsidRPr="00D7552E" w:rsidRDefault="009F6146" w:rsidP="009F6146">
            <w:pPr>
              <w:jc w:val="right"/>
              <w:rPr>
                <w:rFonts w:eastAsia="Times New Roman" w:cstheme="minorHAnsi"/>
              </w:rPr>
            </w:pPr>
            <w:r w:rsidRPr="00D7552E">
              <w:rPr>
                <w:rFonts w:eastAsia="Times New Roman" w:cstheme="minorHAnsi"/>
              </w:rPr>
              <w:t>021</w:t>
            </w:r>
            <w:r>
              <w:rPr>
                <w:rFonts w:eastAsia="Times New Roman" w:cstheme="minorHAnsi"/>
              </w:rPr>
              <w:t>1</w:t>
            </w:r>
          </w:p>
        </w:tc>
        <w:tc>
          <w:tcPr>
            <w:tcW w:w="1966" w:type="dxa"/>
            <w:vAlign w:val="center"/>
            <w:hideMark/>
          </w:tcPr>
          <w:p w:rsidR="009F6146" w:rsidRPr="00D7552E" w:rsidRDefault="009F6146" w:rsidP="009F6146">
            <w:pPr>
              <w:rPr>
                <w:rFonts w:eastAsia="Times New Roman" w:cstheme="minorHAnsi"/>
              </w:rPr>
            </w:pPr>
            <w:r w:rsidRPr="00FC2FFE">
              <w:rPr>
                <w:rFonts w:eastAsia="Times New Roman" w:cstheme="minorHAnsi"/>
              </w:rPr>
              <w:t>Stambeni objekti</w:t>
            </w:r>
          </w:p>
        </w:tc>
        <w:tc>
          <w:tcPr>
            <w:tcW w:w="543" w:type="dxa"/>
            <w:noWrap/>
            <w:vAlign w:val="center"/>
            <w:hideMark/>
          </w:tcPr>
          <w:p w:rsidR="009F6146" w:rsidRPr="00D7552E" w:rsidRDefault="009F6146" w:rsidP="009F6146">
            <w:pPr>
              <w:jc w:val="right"/>
              <w:rPr>
                <w:rFonts w:eastAsia="Times New Roman" w:cstheme="minorHAnsi"/>
              </w:rPr>
            </w:pPr>
            <w:r>
              <w:rPr>
                <w:rFonts w:eastAsia="Times New Roman" w:cstheme="minorHAnsi"/>
              </w:rPr>
              <w:t>009</w:t>
            </w:r>
          </w:p>
        </w:tc>
        <w:tc>
          <w:tcPr>
            <w:tcW w:w="1640" w:type="dxa"/>
            <w:noWrap/>
            <w:vAlign w:val="center"/>
            <w:hideMark/>
          </w:tcPr>
          <w:p w:rsidR="009F6146" w:rsidRPr="00D7552E" w:rsidRDefault="009F6146" w:rsidP="009F6146">
            <w:pPr>
              <w:jc w:val="right"/>
              <w:rPr>
                <w:rFonts w:eastAsia="Times New Roman" w:cstheme="minorHAnsi"/>
              </w:rPr>
            </w:pPr>
            <w:r>
              <w:rPr>
                <w:rFonts w:eastAsia="Times New Roman" w:cstheme="minorHAnsi"/>
              </w:rPr>
              <w:t>1.137.400.303</w:t>
            </w:r>
          </w:p>
        </w:tc>
        <w:tc>
          <w:tcPr>
            <w:tcW w:w="1669" w:type="dxa"/>
            <w:noWrap/>
            <w:vAlign w:val="center"/>
            <w:hideMark/>
          </w:tcPr>
          <w:p w:rsidR="009F6146" w:rsidRPr="00D7552E" w:rsidRDefault="009F6146" w:rsidP="009F6146">
            <w:pPr>
              <w:jc w:val="right"/>
              <w:rPr>
                <w:rFonts w:eastAsia="Times New Roman" w:cstheme="minorHAnsi"/>
              </w:rPr>
            </w:pPr>
            <w:r>
              <w:rPr>
                <w:rFonts w:eastAsia="Times New Roman" w:cstheme="minorHAnsi"/>
              </w:rPr>
              <w:t>1.120.429.909</w:t>
            </w:r>
          </w:p>
        </w:tc>
        <w:tc>
          <w:tcPr>
            <w:tcW w:w="973" w:type="dxa"/>
            <w:noWrap/>
            <w:vAlign w:val="center"/>
          </w:tcPr>
          <w:p w:rsidR="009F6146" w:rsidRPr="00D7552E" w:rsidRDefault="009F6146" w:rsidP="009F6146">
            <w:pPr>
              <w:jc w:val="right"/>
              <w:rPr>
                <w:rFonts w:eastAsia="Times New Roman" w:cstheme="minorHAnsi"/>
              </w:rPr>
            </w:pPr>
            <w:r>
              <w:rPr>
                <w:rFonts w:eastAsia="Times New Roman" w:cstheme="minorHAnsi"/>
              </w:rPr>
              <w:t>98,5</w:t>
            </w:r>
          </w:p>
        </w:tc>
        <w:tc>
          <w:tcPr>
            <w:tcW w:w="1407" w:type="dxa"/>
            <w:noWrap/>
            <w:vAlign w:val="center"/>
          </w:tcPr>
          <w:p w:rsidR="009F6146" w:rsidRPr="00D7552E" w:rsidRDefault="009F6146" w:rsidP="009F6146">
            <w:pPr>
              <w:jc w:val="right"/>
              <w:rPr>
                <w:rFonts w:eastAsia="Times New Roman" w:cstheme="minorHAnsi"/>
              </w:rPr>
            </w:pPr>
            <w:r>
              <w:rPr>
                <w:rFonts w:eastAsia="Times New Roman" w:cstheme="minorHAnsi"/>
              </w:rPr>
              <w:t>16.970.394</w:t>
            </w:r>
          </w:p>
        </w:tc>
      </w:tr>
    </w:tbl>
    <w:p w:rsidR="009F6146" w:rsidRDefault="009F6146" w:rsidP="009F6146">
      <w:pPr>
        <w:spacing w:after="0"/>
        <w:rPr>
          <w:rFonts w:eastAsia="Times New Roman" w:cstheme="minorHAnsi"/>
          <w:lang w:val="en-AU"/>
        </w:rPr>
      </w:pPr>
    </w:p>
    <w:p w:rsidR="00A234C4" w:rsidRPr="004F1269" w:rsidRDefault="009F6146" w:rsidP="004F1269">
      <w:pPr>
        <w:jc w:val="both"/>
      </w:pPr>
      <w:r>
        <w:t>Vrijednost imovine - stambenih objekata smanjena je za 16.970.394</w:t>
      </w:r>
      <w:r>
        <w:rPr>
          <w:rFonts w:eastAsia="Times New Roman" w:cstheme="minorHAnsi"/>
        </w:rPr>
        <w:t xml:space="preserve"> </w:t>
      </w:r>
      <w:r>
        <w:t xml:space="preserve">kn, odnosno za 1,5 % u odnosu na prethodnu godinu. Do smanjenja dolazi zbog </w:t>
      </w:r>
      <w:proofErr w:type="spellStart"/>
      <w:r>
        <w:t>isknjiženja</w:t>
      </w:r>
      <w:proofErr w:type="spellEnd"/>
      <w:r>
        <w:t xml:space="preserve"> prodanih stanova u vlasništvu Grada u izvještajnom razdoblju. </w:t>
      </w:r>
    </w:p>
    <w:p w:rsidR="009F6146" w:rsidRPr="006627CA" w:rsidRDefault="009F6146" w:rsidP="009F6146">
      <w:pPr>
        <w:rPr>
          <w:b/>
        </w:rPr>
      </w:pPr>
      <w:r>
        <w:rPr>
          <w:b/>
        </w:rPr>
        <w:t>Bilješka br. 4</w:t>
      </w:r>
      <w:r>
        <w:t xml:space="preserve"> – </w:t>
      </w:r>
      <w:r w:rsidRPr="006627CA">
        <w:rPr>
          <w:b/>
        </w:rPr>
        <w:t>AOP 010 Poslovni objekti</w:t>
      </w:r>
    </w:p>
    <w:tbl>
      <w:tblPr>
        <w:tblStyle w:val="TableGrid"/>
        <w:tblW w:w="0" w:type="auto"/>
        <w:tblLook w:val="04A0" w:firstRow="1" w:lastRow="0" w:firstColumn="1" w:lastColumn="0" w:noHBand="0" w:noVBand="1"/>
      </w:tblPr>
      <w:tblGrid>
        <w:gridCol w:w="864"/>
        <w:gridCol w:w="1941"/>
        <w:gridCol w:w="568"/>
        <w:gridCol w:w="1640"/>
        <w:gridCol w:w="1669"/>
        <w:gridCol w:w="973"/>
        <w:gridCol w:w="1407"/>
      </w:tblGrid>
      <w:tr w:rsidR="009F6146" w:rsidRPr="00774066" w:rsidTr="009F6146">
        <w:trPr>
          <w:trHeight w:val="600"/>
        </w:trPr>
        <w:tc>
          <w:tcPr>
            <w:tcW w:w="864"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1966" w:type="dxa"/>
            <w:shd w:val="clear" w:color="auto" w:fill="DEEAF6" w:themeFill="accent1" w:themeFillTint="33"/>
            <w:vAlign w:val="center"/>
            <w:hideMark/>
          </w:tcPr>
          <w:p w:rsidR="009F6146" w:rsidRPr="00774066" w:rsidRDefault="009F6146" w:rsidP="009F6146">
            <w:pPr>
              <w:jc w:val="center"/>
            </w:pPr>
            <w:r w:rsidRPr="00774066">
              <w:t>OPIS</w:t>
            </w:r>
          </w:p>
        </w:tc>
        <w:tc>
          <w:tcPr>
            <w:tcW w:w="543"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66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73"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864"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1966" w:type="dxa"/>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54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6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7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407"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D7552E" w:rsidTr="009F6146">
        <w:trPr>
          <w:trHeight w:val="300"/>
        </w:trPr>
        <w:tc>
          <w:tcPr>
            <w:tcW w:w="864" w:type="dxa"/>
            <w:noWrap/>
            <w:vAlign w:val="center"/>
            <w:hideMark/>
          </w:tcPr>
          <w:p w:rsidR="009F6146" w:rsidRPr="00D7552E" w:rsidRDefault="009F6146" w:rsidP="009F6146">
            <w:pPr>
              <w:jc w:val="right"/>
              <w:rPr>
                <w:rFonts w:eastAsia="Times New Roman" w:cstheme="minorHAnsi"/>
              </w:rPr>
            </w:pPr>
            <w:r w:rsidRPr="00D7552E">
              <w:rPr>
                <w:rFonts w:eastAsia="Times New Roman" w:cstheme="minorHAnsi"/>
              </w:rPr>
              <w:t>0212</w:t>
            </w:r>
          </w:p>
        </w:tc>
        <w:tc>
          <w:tcPr>
            <w:tcW w:w="1966" w:type="dxa"/>
            <w:vAlign w:val="center"/>
            <w:hideMark/>
          </w:tcPr>
          <w:p w:rsidR="009F6146" w:rsidRPr="00D7552E" w:rsidRDefault="009F6146" w:rsidP="009F6146">
            <w:pPr>
              <w:rPr>
                <w:rFonts w:eastAsia="Times New Roman" w:cstheme="minorHAnsi"/>
              </w:rPr>
            </w:pPr>
            <w:r w:rsidRPr="00D7552E">
              <w:rPr>
                <w:rFonts w:eastAsia="Times New Roman" w:cstheme="minorHAnsi"/>
              </w:rPr>
              <w:t>Poslovni objekti</w:t>
            </w:r>
          </w:p>
        </w:tc>
        <w:tc>
          <w:tcPr>
            <w:tcW w:w="543" w:type="dxa"/>
            <w:noWrap/>
            <w:vAlign w:val="center"/>
            <w:hideMark/>
          </w:tcPr>
          <w:p w:rsidR="009F6146" w:rsidRPr="00D7552E" w:rsidRDefault="009F6146" w:rsidP="009F6146">
            <w:pPr>
              <w:jc w:val="right"/>
              <w:rPr>
                <w:rFonts w:eastAsia="Times New Roman" w:cstheme="minorHAnsi"/>
              </w:rPr>
            </w:pPr>
            <w:r>
              <w:rPr>
                <w:rFonts w:eastAsia="Times New Roman" w:cstheme="minorHAnsi"/>
              </w:rPr>
              <w:t>0</w:t>
            </w:r>
            <w:r w:rsidRPr="00D7552E">
              <w:rPr>
                <w:rFonts w:eastAsia="Times New Roman" w:cstheme="minorHAnsi"/>
              </w:rPr>
              <w:t>10</w:t>
            </w:r>
          </w:p>
        </w:tc>
        <w:tc>
          <w:tcPr>
            <w:tcW w:w="1640" w:type="dxa"/>
            <w:noWrap/>
            <w:vAlign w:val="center"/>
            <w:hideMark/>
          </w:tcPr>
          <w:p w:rsidR="009F6146" w:rsidRPr="00D7552E" w:rsidRDefault="009F6146" w:rsidP="009F6146">
            <w:pPr>
              <w:jc w:val="right"/>
              <w:rPr>
                <w:rFonts w:eastAsia="Times New Roman" w:cstheme="minorHAnsi"/>
              </w:rPr>
            </w:pPr>
            <w:r>
              <w:rPr>
                <w:rFonts w:eastAsia="Times New Roman" w:cstheme="minorHAnsi"/>
              </w:rPr>
              <w:t>4.562.500.239</w:t>
            </w:r>
          </w:p>
        </w:tc>
        <w:tc>
          <w:tcPr>
            <w:tcW w:w="1669" w:type="dxa"/>
            <w:noWrap/>
            <w:vAlign w:val="center"/>
            <w:hideMark/>
          </w:tcPr>
          <w:p w:rsidR="009F6146" w:rsidRPr="00D7552E" w:rsidRDefault="009F6146" w:rsidP="009F6146">
            <w:pPr>
              <w:jc w:val="right"/>
              <w:rPr>
                <w:rFonts w:eastAsia="Times New Roman" w:cstheme="minorHAnsi"/>
              </w:rPr>
            </w:pPr>
            <w:r>
              <w:rPr>
                <w:rFonts w:eastAsia="Times New Roman" w:cstheme="minorHAnsi"/>
              </w:rPr>
              <w:t>4.654.436.444</w:t>
            </w:r>
          </w:p>
        </w:tc>
        <w:tc>
          <w:tcPr>
            <w:tcW w:w="973" w:type="dxa"/>
            <w:noWrap/>
            <w:vAlign w:val="center"/>
          </w:tcPr>
          <w:p w:rsidR="009F6146" w:rsidRPr="00D7552E" w:rsidRDefault="009F6146" w:rsidP="009F6146">
            <w:pPr>
              <w:jc w:val="right"/>
              <w:rPr>
                <w:rFonts w:eastAsia="Times New Roman" w:cstheme="minorHAnsi"/>
              </w:rPr>
            </w:pPr>
            <w:r>
              <w:rPr>
                <w:rFonts w:eastAsia="Times New Roman" w:cstheme="minorHAnsi"/>
              </w:rPr>
              <w:t>102</w:t>
            </w:r>
          </w:p>
        </w:tc>
        <w:tc>
          <w:tcPr>
            <w:tcW w:w="1407" w:type="dxa"/>
            <w:noWrap/>
            <w:vAlign w:val="center"/>
          </w:tcPr>
          <w:p w:rsidR="009F6146" w:rsidRPr="00D7552E" w:rsidRDefault="009F6146" w:rsidP="009F6146">
            <w:pPr>
              <w:jc w:val="right"/>
              <w:rPr>
                <w:rFonts w:eastAsia="Times New Roman" w:cstheme="minorHAnsi"/>
              </w:rPr>
            </w:pPr>
            <w:r>
              <w:rPr>
                <w:rFonts w:eastAsia="Times New Roman" w:cstheme="minorHAnsi"/>
              </w:rPr>
              <w:t>91.936.205</w:t>
            </w:r>
          </w:p>
        </w:tc>
      </w:tr>
    </w:tbl>
    <w:p w:rsidR="009F6146" w:rsidRDefault="009F6146" w:rsidP="009F6146">
      <w:pPr>
        <w:spacing w:after="0"/>
        <w:rPr>
          <w:rFonts w:eastAsia="Times New Roman" w:cstheme="minorHAnsi"/>
          <w:lang w:val="en-AU"/>
        </w:rPr>
      </w:pPr>
    </w:p>
    <w:p w:rsidR="009F6146" w:rsidRDefault="009F6146" w:rsidP="009F6146">
      <w:pPr>
        <w:jc w:val="both"/>
      </w:pPr>
      <w:r>
        <w:t xml:space="preserve">Poslovni objekti povećani su za </w:t>
      </w:r>
      <w:r>
        <w:rPr>
          <w:rFonts w:eastAsia="Times New Roman" w:cstheme="minorHAnsi"/>
        </w:rPr>
        <w:t xml:space="preserve">91.936.205 </w:t>
      </w:r>
      <w:r>
        <w:t xml:space="preserve">kn, odnosno za 2% u odnosu na prethodnu godinu. Vrijednost poslovnih objekata povećana je prvenstveno zbog prijenosa završenih investicija u izgradnju objekata i završenih dodatnih ulaganja u postojeće objekte izvještajne godine i prethodnih godina,  s računa pripreme na račun imovine u iznosu od 145.601.640 kn. Tijekom 2020. godine najznačajnije smanjenje vrijednosti poslovnih objekata je zbog </w:t>
      </w:r>
      <w:proofErr w:type="spellStart"/>
      <w:r>
        <w:t>isknjiženja</w:t>
      </w:r>
      <w:proofErr w:type="spellEnd"/>
      <w:r>
        <w:t xml:space="preserve"> nekretnine u vlasništvu Grada</w:t>
      </w:r>
      <w:r w:rsidRPr="00855E0C">
        <w:t xml:space="preserve"> </w:t>
      </w:r>
      <w:r>
        <w:t>vrijednosti 51.867.903 kn, koja je prodana društvu APIS IT d.o.o.</w:t>
      </w:r>
    </w:p>
    <w:p w:rsidR="009F6146" w:rsidRPr="006627CA" w:rsidRDefault="009F6146" w:rsidP="009F6146">
      <w:pPr>
        <w:rPr>
          <w:b/>
        </w:rPr>
      </w:pPr>
      <w:r w:rsidRPr="00D61E11">
        <w:rPr>
          <w:b/>
        </w:rPr>
        <w:t xml:space="preserve">Bilješka br. </w:t>
      </w:r>
      <w:r>
        <w:rPr>
          <w:b/>
        </w:rPr>
        <w:t>5</w:t>
      </w:r>
      <w:r>
        <w:t xml:space="preserve"> – </w:t>
      </w:r>
      <w:r w:rsidRPr="006627CA">
        <w:rPr>
          <w:b/>
        </w:rPr>
        <w:t xml:space="preserve">AOP 013 </w:t>
      </w:r>
      <w:r w:rsidRPr="006627CA">
        <w:rPr>
          <w:rFonts w:eastAsia="Times New Roman" w:cstheme="minorHAnsi"/>
          <w:b/>
        </w:rPr>
        <w:t>Ispravak vrijednosti građevinskih objekata</w:t>
      </w:r>
    </w:p>
    <w:tbl>
      <w:tblPr>
        <w:tblStyle w:val="TableGrid"/>
        <w:tblW w:w="0" w:type="auto"/>
        <w:tblLook w:val="04A0" w:firstRow="1" w:lastRow="0" w:firstColumn="1" w:lastColumn="0" w:noHBand="0" w:noVBand="1"/>
      </w:tblPr>
      <w:tblGrid>
        <w:gridCol w:w="805"/>
        <w:gridCol w:w="2000"/>
        <w:gridCol w:w="568"/>
        <w:gridCol w:w="1640"/>
        <w:gridCol w:w="1669"/>
        <w:gridCol w:w="973"/>
        <w:gridCol w:w="1407"/>
      </w:tblGrid>
      <w:tr w:rsidR="009F6146" w:rsidRPr="00774066" w:rsidTr="009F6146">
        <w:trPr>
          <w:trHeight w:val="600"/>
        </w:trPr>
        <w:tc>
          <w:tcPr>
            <w:tcW w:w="805"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2025" w:type="dxa"/>
            <w:shd w:val="clear" w:color="auto" w:fill="DEEAF6" w:themeFill="accent1" w:themeFillTint="33"/>
            <w:vAlign w:val="center"/>
            <w:hideMark/>
          </w:tcPr>
          <w:p w:rsidR="009F6146" w:rsidRPr="00774066" w:rsidRDefault="009F6146" w:rsidP="009F6146">
            <w:pPr>
              <w:jc w:val="center"/>
            </w:pPr>
            <w:r w:rsidRPr="00774066">
              <w:t>OPIS</w:t>
            </w:r>
          </w:p>
        </w:tc>
        <w:tc>
          <w:tcPr>
            <w:tcW w:w="543"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66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73"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805"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2025" w:type="dxa"/>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54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6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7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407"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D7552E" w:rsidTr="009F6146">
        <w:trPr>
          <w:trHeight w:val="300"/>
        </w:trPr>
        <w:tc>
          <w:tcPr>
            <w:tcW w:w="805" w:type="dxa"/>
            <w:noWrap/>
            <w:vAlign w:val="center"/>
            <w:hideMark/>
          </w:tcPr>
          <w:p w:rsidR="009F6146" w:rsidRPr="00D7552E" w:rsidRDefault="009F6146" w:rsidP="009F6146">
            <w:pPr>
              <w:jc w:val="right"/>
              <w:rPr>
                <w:rFonts w:eastAsia="Times New Roman" w:cstheme="minorHAnsi"/>
              </w:rPr>
            </w:pPr>
            <w:r w:rsidRPr="00D7552E">
              <w:rPr>
                <w:rFonts w:eastAsia="Times New Roman" w:cstheme="minorHAnsi"/>
              </w:rPr>
              <w:t>02921</w:t>
            </w:r>
          </w:p>
        </w:tc>
        <w:tc>
          <w:tcPr>
            <w:tcW w:w="2025" w:type="dxa"/>
            <w:vAlign w:val="center"/>
            <w:hideMark/>
          </w:tcPr>
          <w:p w:rsidR="009F6146" w:rsidRPr="00D7552E" w:rsidRDefault="009F6146" w:rsidP="009F6146">
            <w:pPr>
              <w:rPr>
                <w:rFonts w:eastAsia="Times New Roman" w:cstheme="minorHAnsi"/>
              </w:rPr>
            </w:pPr>
            <w:r w:rsidRPr="00D7552E">
              <w:rPr>
                <w:rFonts w:eastAsia="Times New Roman" w:cstheme="minorHAnsi"/>
              </w:rPr>
              <w:t xml:space="preserve">Ispravak vrijednosti građevinskih </w:t>
            </w:r>
            <w:r>
              <w:rPr>
                <w:rFonts w:eastAsia="Times New Roman" w:cstheme="minorHAnsi"/>
              </w:rPr>
              <w:t>o</w:t>
            </w:r>
            <w:r w:rsidRPr="00D7552E">
              <w:rPr>
                <w:rFonts w:eastAsia="Times New Roman" w:cstheme="minorHAnsi"/>
              </w:rPr>
              <w:t>bjekata</w:t>
            </w:r>
          </w:p>
        </w:tc>
        <w:tc>
          <w:tcPr>
            <w:tcW w:w="543" w:type="dxa"/>
            <w:noWrap/>
            <w:vAlign w:val="center"/>
            <w:hideMark/>
          </w:tcPr>
          <w:p w:rsidR="009F6146" w:rsidRPr="00D7552E" w:rsidRDefault="009F6146" w:rsidP="009F6146">
            <w:pPr>
              <w:jc w:val="right"/>
              <w:rPr>
                <w:rFonts w:eastAsia="Times New Roman" w:cstheme="minorHAnsi"/>
              </w:rPr>
            </w:pPr>
            <w:r>
              <w:rPr>
                <w:rFonts w:eastAsia="Times New Roman" w:cstheme="minorHAnsi"/>
              </w:rPr>
              <w:t>0</w:t>
            </w:r>
            <w:r w:rsidRPr="00D7552E">
              <w:rPr>
                <w:rFonts w:eastAsia="Times New Roman" w:cstheme="minorHAnsi"/>
              </w:rPr>
              <w:t>13</w:t>
            </w:r>
          </w:p>
        </w:tc>
        <w:tc>
          <w:tcPr>
            <w:tcW w:w="1640" w:type="dxa"/>
            <w:noWrap/>
            <w:vAlign w:val="center"/>
            <w:hideMark/>
          </w:tcPr>
          <w:p w:rsidR="009F6146" w:rsidRPr="00D7552E" w:rsidRDefault="009F6146" w:rsidP="009F6146">
            <w:pPr>
              <w:jc w:val="right"/>
              <w:rPr>
                <w:rFonts w:eastAsia="Times New Roman" w:cstheme="minorHAnsi"/>
              </w:rPr>
            </w:pPr>
            <w:r>
              <w:rPr>
                <w:rFonts w:eastAsia="Times New Roman" w:cstheme="minorHAnsi"/>
              </w:rPr>
              <w:t>1.390.062.979</w:t>
            </w:r>
          </w:p>
        </w:tc>
        <w:tc>
          <w:tcPr>
            <w:tcW w:w="1669" w:type="dxa"/>
            <w:noWrap/>
            <w:vAlign w:val="center"/>
            <w:hideMark/>
          </w:tcPr>
          <w:p w:rsidR="009F6146" w:rsidRPr="00D7552E" w:rsidRDefault="009F6146" w:rsidP="009F6146">
            <w:pPr>
              <w:jc w:val="right"/>
              <w:rPr>
                <w:rFonts w:eastAsia="Times New Roman" w:cstheme="minorHAnsi"/>
              </w:rPr>
            </w:pPr>
            <w:r>
              <w:rPr>
                <w:rFonts w:eastAsia="Times New Roman" w:cstheme="minorHAnsi"/>
              </w:rPr>
              <w:t>1.439.606.647</w:t>
            </w:r>
          </w:p>
        </w:tc>
        <w:tc>
          <w:tcPr>
            <w:tcW w:w="973" w:type="dxa"/>
            <w:noWrap/>
            <w:vAlign w:val="center"/>
          </w:tcPr>
          <w:p w:rsidR="009F6146" w:rsidRPr="00D7552E" w:rsidRDefault="009F6146" w:rsidP="009F6146">
            <w:pPr>
              <w:jc w:val="right"/>
              <w:rPr>
                <w:rFonts w:eastAsia="Times New Roman" w:cstheme="minorHAnsi"/>
              </w:rPr>
            </w:pPr>
            <w:r>
              <w:rPr>
                <w:rFonts w:eastAsia="Times New Roman" w:cstheme="minorHAnsi"/>
              </w:rPr>
              <w:t>103,6</w:t>
            </w:r>
          </w:p>
        </w:tc>
        <w:tc>
          <w:tcPr>
            <w:tcW w:w="1407" w:type="dxa"/>
            <w:noWrap/>
            <w:vAlign w:val="center"/>
          </w:tcPr>
          <w:p w:rsidR="009F6146" w:rsidRPr="00D7552E" w:rsidRDefault="009F6146" w:rsidP="009F6146">
            <w:pPr>
              <w:jc w:val="right"/>
              <w:rPr>
                <w:rFonts w:eastAsia="Times New Roman" w:cstheme="minorHAnsi"/>
              </w:rPr>
            </w:pPr>
            <w:r>
              <w:rPr>
                <w:rFonts w:eastAsia="Times New Roman" w:cstheme="minorHAnsi"/>
              </w:rPr>
              <w:t>49.543.668</w:t>
            </w:r>
          </w:p>
        </w:tc>
      </w:tr>
    </w:tbl>
    <w:p w:rsidR="009F6146" w:rsidRDefault="009F6146" w:rsidP="009F6146">
      <w:pPr>
        <w:spacing w:after="0"/>
      </w:pPr>
    </w:p>
    <w:p w:rsidR="009F6146" w:rsidRDefault="009F6146" w:rsidP="009F6146">
      <w:pPr>
        <w:jc w:val="both"/>
      </w:pPr>
      <w:r>
        <w:lastRenderedPageBreak/>
        <w:t xml:space="preserve">Ispravak vrijednosti  građevinskih objekata povećan je iz razloga obračuna ispravka vrijednosti  imovine za izvještajnu godinu i obračuna ispravka vrijednosti za prethodne godine imovine koja je s računa u pripremi prebačena na račun imovine. </w:t>
      </w:r>
    </w:p>
    <w:p w:rsidR="009F6146" w:rsidRPr="006627CA" w:rsidRDefault="009F6146" w:rsidP="009F6146">
      <w:pPr>
        <w:jc w:val="both"/>
        <w:rPr>
          <w:b/>
        </w:rPr>
      </w:pPr>
      <w:r w:rsidRPr="006C0182">
        <w:rPr>
          <w:b/>
        </w:rPr>
        <w:t xml:space="preserve">Bilješka br. </w:t>
      </w:r>
      <w:r>
        <w:rPr>
          <w:b/>
        </w:rPr>
        <w:t>6</w:t>
      </w:r>
      <w:r>
        <w:t xml:space="preserve"> – </w:t>
      </w:r>
      <w:r w:rsidRPr="006627CA">
        <w:rPr>
          <w:b/>
        </w:rPr>
        <w:t>AOP 0</w:t>
      </w:r>
      <w:r>
        <w:rPr>
          <w:b/>
        </w:rPr>
        <w:t>21</w:t>
      </w:r>
      <w:r w:rsidRPr="006627CA">
        <w:rPr>
          <w:b/>
        </w:rPr>
        <w:t xml:space="preserve"> </w:t>
      </w:r>
      <w:r>
        <w:rPr>
          <w:b/>
        </w:rPr>
        <w:t>Uređaji, strojevi i oprema za ostale namjene</w:t>
      </w:r>
    </w:p>
    <w:tbl>
      <w:tblPr>
        <w:tblStyle w:val="TableGrid"/>
        <w:tblW w:w="0" w:type="auto"/>
        <w:tblLook w:val="04A0" w:firstRow="1" w:lastRow="0" w:firstColumn="1" w:lastColumn="0" w:noHBand="0" w:noVBand="1"/>
      </w:tblPr>
      <w:tblGrid>
        <w:gridCol w:w="864"/>
        <w:gridCol w:w="1941"/>
        <w:gridCol w:w="568"/>
        <w:gridCol w:w="1640"/>
        <w:gridCol w:w="1669"/>
        <w:gridCol w:w="973"/>
        <w:gridCol w:w="1407"/>
      </w:tblGrid>
      <w:tr w:rsidR="009F6146" w:rsidRPr="00774066" w:rsidTr="009F6146">
        <w:trPr>
          <w:trHeight w:val="600"/>
        </w:trPr>
        <w:tc>
          <w:tcPr>
            <w:tcW w:w="864"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1966" w:type="dxa"/>
            <w:shd w:val="clear" w:color="auto" w:fill="DEEAF6" w:themeFill="accent1" w:themeFillTint="33"/>
            <w:vAlign w:val="center"/>
            <w:hideMark/>
          </w:tcPr>
          <w:p w:rsidR="009F6146" w:rsidRPr="00774066" w:rsidRDefault="009F6146" w:rsidP="009F6146">
            <w:pPr>
              <w:jc w:val="center"/>
            </w:pPr>
            <w:r w:rsidRPr="00774066">
              <w:t>OPIS</w:t>
            </w:r>
          </w:p>
        </w:tc>
        <w:tc>
          <w:tcPr>
            <w:tcW w:w="543"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66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73"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864"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1966" w:type="dxa"/>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54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6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7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407"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D7552E" w:rsidTr="009F6146">
        <w:trPr>
          <w:trHeight w:val="300"/>
        </w:trPr>
        <w:tc>
          <w:tcPr>
            <w:tcW w:w="864" w:type="dxa"/>
            <w:noWrap/>
            <w:vAlign w:val="center"/>
            <w:hideMark/>
          </w:tcPr>
          <w:p w:rsidR="009F6146" w:rsidRPr="00D61E11" w:rsidRDefault="009F6146" w:rsidP="009F6146">
            <w:pPr>
              <w:jc w:val="right"/>
              <w:rPr>
                <w:rFonts w:eastAsia="Times New Roman" w:cstheme="minorHAnsi"/>
                <w:bCs/>
              </w:rPr>
            </w:pPr>
            <w:r>
              <w:rPr>
                <w:rFonts w:eastAsia="Times New Roman" w:cstheme="minorHAnsi"/>
                <w:bCs/>
              </w:rPr>
              <w:t>0227</w:t>
            </w:r>
          </w:p>
        </w:tc>
        <w:tc>
          <w:tcPr>
            <w:tcW w:w="1966" w:type="dxa"/>
            <w:vAlign w:val="center"/>
            <w:hideMark/>
          </w:tcPr>
          <w:p w:rsidR="009F6146" w:rsidRPr="00D61E11" w:rsidRDefault="009F6146" w:rsidP="009F6146">
            <w:pPr>
              <w:rPr>
                <w:rFonts w:eastAsia="Times New Roman" w:cstheme="minorHAnsi"/>
                <w:bCs/>
              </w:rPr>
            </w:pPr>
            <w:r>
              <w:rPr>
                <w:rFonts w:eastAsia="Times New Roman" w:cstheme="minorHAnsi"/>
                <w:bCs/>
              </w:rPr>
              <w:t>Uređaji, strojevi i oprema za ostale namjene</w:t>
            </w:r>
            <w:r w:rsidRPr="00D61E11">
              <w:rPr>
                <w:rFonts w:eastAsia="Times New Roman" w:cstheme="minorHAnsi"/>
                <w:bCs/>
              </w:rPr>
              <w:t xml:space="preserve"> </w:t>
            </w:r>
          </w:p>
        </w:tc>
        <w:tc>
          <w:tcPr>
            <w:tcW w:w="543" w:type="dxa"/>
            <w:noWrap/>
            <w:vAlign w:val="center"/>
            <w:hideMark/>
          </w:tcPr>
          <w:p w:rsidR="009F6146" w:rsidRPr="00D61E11" w:rsidRDefault="009F6146" w:rsidP="009F6146">
            <w:pPr>
              <w:jc w:val="right"/>
              <w:rPr>
                <w:rFonts w:eastAsia="Times New Roman" w:cstheme="minorHAnsi"/>
                <w:bCs/>
              </w:rPr>
            </w:pPr>
            <w:r w:rsidRPr="00D61E11">
              <w:rPr>
                <w:rFonts w:eastAsia="Times New Roman" w:cstheme="minorHAnsi"/>
                <w:bCs/>
              </w:rPr>
              <w:t>0</w:t>
            </w:r>
            <w:r>
              <w:rPr>
                <w:rFonts w:eastAsia="Times New Roman" w:cstheme="minorHAnsi"/>
                <w:bCs/>
              </w:rPr>
              <w:t>21</w:t>
            </w:r>
          </w:p>
        </w:tc>
        <w:tc>
          <w:tcPr>
            <w:tcW w:w="1640" w:type="dxa"/>
            <w:noWrap/>
            <w:vAlign w:val="center"/>
            <w:hideMark/>
          </w:tcPr>
          <w:p w:rsidR="009F6146" w:rsidRPr="00D61E11" w:rsidRDefault="009F6146" w:rsidP="009F6146">
            <w:pPr>
              <w:jc w:val="right"/>
              <w:rPr>
                <w:rFonts w:eastAsia="Times New Roman" w:cstheme="minorHAnsi"/>
                <w:bCs/>
              </w:rPr>
            </w:pPr>
            <w:r>
              <w:rPr>
                <w:rFonts w:eastAsia="Times New Roman" w:cstheme="minorHAnsi"/>
                <w:bCs/>
              </w:rPr>
              <w:t>2.850.389</w:t>
            </w:r>
          </w:p>
        </w:tc>
        <w:tc>
          <w:tcPr>
            <w:tcW w:w="1669" w:type="dxa"/>
            <w:noWrap/>
            <w:vAlign w:val="center"/>
          </w:tcPr>
          <w:p w:rsidR="009F6146" w:rsidRPr="00D61E11" w:rsidRDefault="009F6146" w:rsidP="009F6146">
            <w:pPr>
              <w:jc w:val="right"/>
              <w:rPr>
                <w:rFonts w:eastAsia="Times New Roman" w:cstheme="minorHAnsi"/>
                <w:bCs/>
              </w:rPr>
            </w:pPr>
            <w:r>
              <w:rPr>
                <w:rFonts w:eastAsia="Times New Roman" w:cstheme="minorHAnsi"/>
                <w:bCs/>
              </w:rPr>
              <w:t>56.684.690</w:t>
            </w:r>
          </w:p>
        </w:tc>
        <w:tc>
          <w:tcPr>
            <w:tcW w:w="973" w:type="dxa"/>
            <w:noWrap/>
            <w:vAlign w:val="center"/>
          </w:tcPr>
          <w:p w:rsidR="009F6146" w:rsidRPr="00D61E11" w:rsidRDefault="009F6146" w:rsidP="009F6146">
            <w:pPr>
              <w:jc w:val="right"/>
              <w:rPr>
                <w:rFonts w:eastAsia="Times New Roman" w:cstheme="minorHAnsi"/>
                <w:bCs/>
              </w:rPr>
            </w:pPr>
            <w:r>
              <w:rPr>
                <w:rFonts w:eastAsia="Times New Roman" w:cstheme="minorHAnsi"/>
                <w:bCs/>
              </w:rPr>
              <w:t>1.988,7</w:t>
            </w:r>
          </w:p>
        </w:tc>
        <w:tc>
          <w:tcPr>
            <w:tcW w:w="1407" w:type="dxa"/>
            <w:noWrap/>
            <w:vAlign w:val="center"/>
          </w:tcPr>
          <w:p w:rsidR="009F6146" w:rsidRPr="00D61E11" w:rsidRDefault="009F6146" w:rsidP="009F6146">
            <w:pPr>
              <w:jc w:val="right"/>
              <w:rPr>
                <w:rFonts w:eastAsia="Times New Roman" w:cstheme="minorHAnsi"/>
                <w:bCs/>
              </w:rPr>
            </w:pPr>
            <w:r>
              <w:rPr>
                <w:rFonts w:eastAsia="Times New Roman" w:cstheme="minorHAnsi"/>
                <w:bCs/>
              </w:rPr>
              <w:t>53.834.301</w:t>
            </w:r>
          </w:p>
        </w:tc>
      </w:tr>
    </w:tbl>
    <w:p w:rsidR="009F6146" w:rsidRDefault="009F6146" w:rsidP="009F6146">
      <w:pPr>
        <w:spacing w:after="0"/>
      </w:pPr>
    </w:p>
    <w:p w:rsidR="009F6146" w:rsidRDefault="009F6146" w:rsidP="009F6146">
      <w:pPr>
        <w:jc w:val="both"/>
      </w:pPr>
      <w:r>
        <w:t>Povećanje se u cijelosti odnosi na evidentirane spremnike temeljem Ugovora o prijenosu vlasništva spremnika za odvojeno prikupljanje komunalnog Gradu Zagrebu od Fonda za zaštitu okoliša i energetsku učinkovitost u vrijednosti od 53.943.125 kn, sukladno Okružnici o sastavljanju i predaji financijskih izvještaja proračuna za razdoblje od 1.siječnja do 30. rujna 2018. Ministarstva financija. Tijekom godine isknjižena je rashodovana i dotrajala oprema u iznosu od 108.824 kn koja je trajno neupotrebljiva i najvećim dijelom otpisana prema donesenim zaključcima tijekom godine.</w:t>
      </w:r>
    </w:p>
    <w:p w:rsidR="00BE5F8A" w:rsidRDefault="00BE5F8A" w:rsidP="009F6146">
      <w:pPr>
        <w:jc w:val="both"/>
      </w:pPr>
    </w:p>
    <w:p w:rsidR="009F6146" w:rsidRDefault="009F6146" w:rsidP="009F6146">
      <w:pPr>
        <w:jc w:val="both"/>
        <w:rPr>
          <w:b/>
        </w:rPr>
      </w:pPr>
      <w:r w:rsidRPr="006C0182">
        <w:rPr>
          <w:b/>
        </w:rPr>
        <w:t xml:space="preserve">Bilješka br. </w:t>
      </w:r>
      <w:r>
        <w:rPr>
          <w:b/>
        </w:rPr>
        <w:t>7</w:t>
      </w:r>
      <w:r>
        <w:t xml:space="preserve"> – </w:t>
      </w:r>
      <w:r w:rsidRPr="006627CA">
        <w:rPr>
          <w:b/>
        </w:rPr>
        <w:t>AOP 0</w:t>
      </w:r>
      <w:r>
        <w:rPr>
          <w:b/>
        </w:rPr>
        <w:t>25</w:t>
      </w:r>
      <w:r w:rsidRPr="006627CA">
        <w:rPr>
          <w:b/>
        </w:rPr>
        <w:t xml:space="preserve"> </w:t>
      </w:r>
      <w:r>
        <w:rPr>
          <w:b/>
        </w:rPr>
        <w:t>Prijevozna sredstva u cestovnom prometu</w:t>
      </w:r>
    </w:p>
    <w:tbl>
      <w:tblPr>
        <w:tblStyle w:val="TableGrid"/>
        <w:tblW w:w="0" w:type="auto"/>
        <w:tblLook w:val="04A0" w:firstRow="1" w:lastRow="0" w:firstColumn="1" w:lastColumn="0" w:noHBand="0" w:noVBand="1"/>
      </w:tblPr>
      <w:tblGrid>
        <w:gridCol w:w="864"/>
        <w:gridCol w:w="1941"/>
        <w:gridCol w:w="568"/>
        <w:gridCol w:w="1640"/>
        <w:gridCol w:w="1669"/>
        <w:gridCol w:w="973"/>
        <w:gridCol w:w="1407"/>
      </w:tblGrid>
      <w:tr w:rsidR="009F6146" w:rsidRPr="00774066" w:rsidTr="009F6146">
        <w:trPr>
          <w:trHeight w:val="600"/>
        </w:trPr>
        <w:tc>
          <w:tcPr>
            <w:tcW w:w="864"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1941" w:type="dxa"/>
            <w:shd w:val="clear" w:color="auto" w:fill="DEEAF6" w:themeFill="accent1" w:themeFillTint="33"/>
            <w:vAlign w:val="center"/>
            <w:hideMark/>
          </w:tcPr>
          <w:p w:rsidR="009F6146" w:rsidRPr="00774066" w:rsidRDefault="009F6146" w:rsidP="009F6146">
            <w:pPr>
              <w:jc w:val="center"/>
            </w:pPr>
            <w:r w:rsidRPr="00774066">
              <w:t>OPIS</w:t>
            </w:r>
          </w:p>
        </w:tc>
        <w:tc>
          <w:tcPr>
            <w:tcW w:w="568"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66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73"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864"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1941" w:type="dxa"/>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568"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6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7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407"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D7552E" w:rsidTr="009F6146">
        <w:trPr>
          <w:trHeight w:val="300"/>
        </w:trPr>
        <w:tc>
          <w:tcPr>
            <w:tcW w:w="864" w:type="dxa"/>
            <w:noWrap/>
            <w:vAlign w:val="center"/>
            <w:hideMark/>
          </w:tcPr>
          <w:p w:rsidR="009F6146" w:rsidRPr="00D61E11" w:rsidRDefault="009F6146" w:rsidP="009F6146">
            <w:pPr>
              <w:jc w:val="right"/>
              <w:rPr>
                <w:rFonts w:eastAsia="Times New Roman" w:cstheme="minorHAnsi"/>
                <w:bCs/>
              </w:rPr>
            </w:pPr>
            <w:r>
              <w:rPr>
                <w:rFonts w:eastAsia="Times New Roman" w:cstheme="minorHAnsi"/>
                <w:bCs/>
              </w:rPr>
              <w:t>0231</w:t>
            </w:r>
          </w:p>
        </w:tc>
        <w:tc>
          <w:tcPr>
            <w:tcW w:w="1941" w:type="dxa"/>
            <w:vAlign w:val="center"/>
            <w:hideMark/>
          </w:tcPr>
          <w:p w:rsidR="009F6146" w:rsidRPr="00D61E11" w:rsidRDefault="009F6146" w:rsidP="009F6146">
            <w:pPr>
              <w:rPr>
                <w:rFonts w:eastAsia="Times New Roman" w:cstheme="minorHAnsi"/>
                <w:bCs/>
              </w:rPr>
            </w:pPr>
            <w:r>
              <w:rPr>
                <w:rFonts w:eastAsia="Times New Roman" w:cstheme="minorHAnsi"/>
                <w:bCs/>
              </w:rPr>
              <w:t xml:space="preserve">Prijevozna sred. u cestovnim </w:t>
            </w:r>
            <w:proofErr w:type="spellStart"/>
            <w:r>
              <w:rPr>
                <w:rFonts w:eastAsia="Times New Roman" w:cstheme="minorHAnsi"/>
                <w:bCs/>
              </w:rPr>
              <w:t>prom</w:t>
            </w:r>
            <w:proofErr w:type="spellEnd"/>
            <w:r>
              <w:rPr>
                <w:rFonts w:eastAsia="Times New Roman" w:cstheme="minorHAnsi"/>
                <w:bCs/>
              </w:rPr>
              <w:t>.</w:t>
            </w:r>
            <w:r w:rsidRPr="00D61E11">
              <w:rPr>
                <w:rFonts w:eastAsia="Times New Roman" w:cstheme="minorHAnsi"/>
                <w:bCs/>
              </w:rPr>
              <w:t xml:space="preserve"> </w:t>
            </w:r>
          </w:p>
        </w:tc>
        <w:tc>
          <w:tcPr>
            <w:tcW w:w="568" w:type="dxa"/>
            <w:noWrap/>
            <w:vAlign w:val="center"/>
            <w:hideMark/>
          </w:tcPr>
          <w:p w:rsidR="009F6146" w:rsidRPr="00D61E11" w:rsidRDefault="009F6146" w:rsidP="009F6146">
            <w:pPr>
              <w:jc w:val="right"/>
              <w:rPr>
                <w:rFonts w:eastAsia="Times New Roman" w:cstheme="minorHAnsi"/>
                <w:bCs/>
              </w:rPr>
            </w:pPr>
            <w:r w:rsidRPr="00D61E11">
              <w:rPr>
                <w:rFonts w:eastAsia="Times New Roman" w:cstheme="minorHAnsi"/>
                <w:bCs/>
              </w:rPr>
              <w:t>0</w:t>
            </w:r>
            <w:r>
              <w:rPr>
                <w:rFonts w:eastAsia="Times New Roman" w:cstheme="minorHAnsi"/>
                <w:bCs/>
              </w:rPr>
              <w:t>25</w:t>
            </w:r>
          </w:p>
        </w:tc>
        <w:tc>
          <w:tcPr>
            <w:tcW w:w="1640" w:type="dxa"/>
            <w:noWrap/>
            <w:vAlign w:val="center"/>
            <w:hideMark/>
          </w:tcPr>
          <w:p w:rsidR="009F6146" w:rsidRPr="00D61E11" w:rsidRDefault="009F6146" w:rsidP="009F6146">
            <w:pPr>
              <w:jc w:val="right"/>
              <w:rPr>
                <w:rFonts w:eastAsia="Times New Roman" w:cstheme="minorHAnsi"/>
                <w:bCs/>
              </w:rPr>
            </w:pPr>
            <w:r>
              <w:rPr>
                <w:rFonts w:eastAsia="Times New Roman" w:cstheme="minorHAnsi"/>
                <w:bCs/>
              </w:rPr>
              <w:t>103.843.672</w:t>
            </w:r>
          </w:p>
        </w:tc>
        <w:tc>
          <w:tcPr>
            <w:tcW w:w="1669" w:type="dxa"/>
            <w:noWrap/>
            <w:vAlign w:val="center"/>
          </w:tcPr>
          <w:p w:rsidR="009F6146" w:rsidRPr="00D61E11" w:rsidRDefault="009F6146" w:rsidP="009F6146">
            <w:pPr>
              <w:jc w:val="right"/>
              <w:rPr>
                <w:rFonts w:eastAsia="Times New Roman" w:cstheme="minorHAnsi"/>
                <w:bCs/>
              </w:rPr>
            </w:pPr>
            <w:r>
              <w:rPr>
                <w:rFonts w:eastAsia="Times New Roman" w:cstheme="minorHAnsi"/>
                <w:bCs/>
              </w:rPr>
              <w:t>111.365.949</w:t>
            </w:r>
          </w:p>
        </w:tc>
        <w:tc>
          <w:tcPr>
            <w:tcW w:w="973" w:type="dxa"/>
            <w:noWrap/>
            <w:vAlign w:val="center"/>
          </w:tcPr>
          <w:p w:rsidR="009F6146" w:rsidRPr="00D61E11" w:rsidRDefault="009F6146" w:rsidP="009F6146">
            <w:pPr>
              <w:jc w:val="right"/>
              <w:rPr>
                <w:rFonts w:eastAsia="Times New Roman" w:cstheme="minorHAnsi"/>
                <w:bCs/>
              </w:rPr>
            </w:pPr>
            <w:r>
              <w:rPr>
                <w:rFonts w:eastAsia="Times New Roman" w:cstheme="minorHAnsi"/>
                <w:bCs/>
              </w:rPr>
              <w:t>107,2</w:t>
            </w:r>
          </w:p>
        </w:tc>
        <w:tc>
          <w:tcPr>
            <w:tcW w:w="1407" w:type="dxa"/>
            <w:noWrap/>
            <w:vAlign w:val="center"/>
          </w:tcPr>
          <w:p w:rsidR="009F6146" w:rsidRPr="00D61E11" w:rsidRDefault="009F6146" w:rsidP="009F6146">
            <w:pPr>
              <w:jc w:val="right"/>
              <w:rPr>
                <w:rFonts w:eastAsia="Times New Roman" w:cstheme="minorHAnsi"/>
                <w:bCs/>
              </w:rPr>
            </w:pPr>
            <w:r>
              <w:rPr>
                <w:rFonts w:eastAsia="Times New Roman" w:cstheme="minorHAnsi"/>
                <w:bCs/>
              </w:rPr>
              <w:t>7.522.277</w:t>
            </w:r>
          </w:p>
        </w:tc>
      </w:tr>
    </w:tbl>
    <w:p w:rsidR="009F6146" w:rsidRDefault="009F6146" w:rsidP="009F6146">
      <w:pPr>
        <w:jc w:val="both"/>
        <w:rPr>
          <w:b/>
        </w:rPr>
      </w:pPr>
    </w:p>
    <w:p w:rsidR="009F6146" w:rsidRPr="001A4B18" w:rsidRDefault="009F6146" w:rsidP="009F6146">
      <w:pPr>
        <w:jc w:val="both"/>
      </w:pPr>
      <w:r>
        <w:t>Povećanje se odnosi na nabavu jednog vatrogasnog vozila s okretnim ljestvama vrijednosti 7.485.187 kn i na evidentiranu ostavinsku imovinu (9 vozila i 1 motocikl) prema procijenjenoj vrijednosti od 37.089 kn.</w:t>
      </w:r>
    </w:p>
    <w:p w:rsidR="009F6146" w:rsidRPr="006627CA" w:rsidRDefault="009F6146" w:rsidP="009F6146">
      <w:pPr>
        <w:rPr>
          <w:b/>
        </w:rPr>
      </w:pPr>
      <w:r w:rsidRPr="00D61E11">
        <w:rPr>
          <w:b/>
        </w:rPr>
        <w:t xml:space="preserve">Bilješka br. </w:t>
      </w:r>
      <w:r>
        <w:rPr>
          <w:b/>
        </w:rPr>
        <w:t>8</w:t>
      </w:r>
      <w:r>
        <w:t xml:space="preserve"> – </w:t>
      </w:r>
      <w:r w:rsidRPr="006627CA">
        <w:rPr>
          <w:b/>
        </w:rPr>
        <w:t>AOP 051 Dugotrajna nefinancijska imovina u pripremi</w:t>
      </w:r>
    </w:p>
    <w:tbl>
      <w:tblPr>
        <w:tblStyle w:val="TableGrid"/>
        <w:tblW w:w="0" w:type="auto"/>
        <w:tblLook w:val="04A0" w:firstRow="1" w:lastRow="0" w:firstColumn="1" w:lastColumn="0" w:noHBand="0" w:noVBand="1"/>
      </w:tblPr>
      <w:tblGrid>
        <w:gridCol w:w="864"/>
        <w:gridCol w:w="1906"/>
        <w:gridCol w:w="603"/>
        <w:gridCol w:w="1640"/>
        <w:gridCol w:w="1669"/>
        <w:gridCol w:w="973"/>
        <w:gridCol w:w="1407"/>
      </w:tblGrid>
      <w:tr w:rsidR="009F6146" w:rsidRPr="00774066" w:rsidTr="009F6146">
        <w:trPr>
          <w:trHeight w:val="600"/>
        </w:trPr>
        <w:tc>
          <w:tcPr>
            <w:tcW w:w="864"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1906" w:type="dxa"/>
            <w:shd w:val="clear" w:color="auto" w:fill="DEEAF6" w:themeFill="accent1" w:themeFillTint="33"/>
            <w:vAlign w:val="center"/>
            <w:hideMark/>
          </w:tcPr>
          <w:p w:rsidR="009F6146" w:rsidRPr="00774066" w:rsidRDefault="009F6146" w:rsidP="009F6146">
            <w:pPr>
              <w:jc w:val="center"/>
            </w:pPr>
            <w:r w:rsidRPr="00774066">
              <w:t>OPIS</w:t>
            </w:r>
          </w:p>
        </w:tc>
        <w:tc>
          <w:tcPr>
            <w:tcW w:w="603"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66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73"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864"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1906" w:type="dxa"/>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60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69"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73"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407"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0362D3" w:rsidTr="009F6146">
        <w:trPr>
          <w:trHeight w:val="300"/>
        </w:trPr>
        <w:tc>
          <w:tcPr>
            <w:tcW w:w="864" w:type="dxa"/>
            <w:noWrap/>
            <w:vAlign w:val="center"/>
            <w:hideMark/>
          </w:tcPr>
          <w:p w:rsidR="009F6146" w:rsidRPr="00B54E90" w:rsidRDefault="009F6146" w:rsidP="009F6146">
            <w:pPr>
              <w:jc w:val="right"/>
              <w:rPr>
                <w:bCs/>
              </w:rPr>
            </w:pPr>
            <w:r w:rsidRPr="00B54E90">
              <w:rPr>
                <w:bCs/>
              </w:rPr>
              <w:t>05</w:t>
            </w:r>
          </w:p>
        </w:tc>
        <w:tc>
          <w:tcPr>
            <w:tcW w:w="1906" w:type="dxa"/>
            <w:vAlign w:val="center"/>
            <w:hideMark/>
          </w:tcPr>
          <w:p w:rsidR="009F6146" w:rsidRPr="00B54E90" w:rsidRDefault="009F6146" w:rsidP="009F6146">
            <w:pPr>
              <w:rPr>
                <w:bCs/>
              </w:rPr>
            </w:pPr>
            <w:r w:rsidRPr="00B54E90">
              <w:rPr>
                <w:bCs/>
              </w:rPr>
              <w:t xml:space="preserve">Dugotrajna nefinancijska imovina u pripremi </w:t>
            </w:r>
          </w:p>
        </w:tc>
        <w:tc>
          <w:tcPr>
            <w:tcW w:w="603" w:type="dxa"/>
            <w:noWrap/>
            <w:vAlign w:val="center"/>
            <w:hideMark/>
          </w:tcPr>
          <w:p w:rsidR="009F6146" w:rsidRPr="00B54E90" w:rsidRDefault="009F6146" w:rsidP="009F6146">
            <w:pPr>
              <w:jc w:val="right"/>
              <w:rPr>
                <w:bCs/>
              </w:rPr>
            </w:pPr>
            <w:r w:rsidRPr="00B54E90">
              <w:rPr>
                <w:bCs/>
              </w:rPr>
              <w:t>051</w:t>
            </w:r>
          </w:p>
        </w:tc>
        <w:tc>
          <w:tcPr>
            <w:tcW w:w="1640" w:type="dxa"/>
            <w:noWrap/>
            <w:vAlign w:val="center"/>
            <w:hideMark/>
          </w:tcPr>
          <w:p w:rsidR="009F6146" w:rsidRPr="00B54E90" w:rsidRDefault="009F6146" w:rsidP="009F6146">
            <w:pPr>
              <w:jc w:val="right"/>
              <w:rPr>
                <w:bCs/>
              </w:rPr>
            </w:pPr>
            <w:r>
              <w:rPr>
                <w:bCs/>
              </w:rPr>
              <w:t>7.600.393.869</w:t>
            </w:r>
          </w:p>
        </w:tc>
        <w:tc>
          <w:tcPr>
            <w:tcW w:w="1669" w:type="dxa"/>
            <w:noWrap/>
            <w:vAlign w:val="center"/>
          </w:tcPr>
          <w:p w:rsidR="009F6146" w:rsidRPr="00B54E90" w:rsidRDefault="009F6146" w:rsidP="009F6146">
            <w:pPr>
              <w:jc w:val="right"/>
              <w:rPr>
                <w:bCs/>
              </w:rPr>
            </w:pPr>
            <w:r>
              <w:rPr>
                <w:bCs/>
              </w:rPr>
              <w:t>8.066.792.351</w:t>
            </w:r>
          </w:p>
        </w:tc>
        <w:tc>
          <w:tcPr>
            <w:tcW w:w="973" w:type="dxa"/>
            <w:noWrap/>
            <w:vAlign w:val="center"/>
          </w:tcPr>
          <w:p w:rsidR="009F6146" w:rsidRPr="00B54E90" w:rsidRDefault="009F6146" w:rsidP="009F6146">
            <w:pPr>
              <w:jc w:val="right"/>
              <w:rPr>
                <w:bCs/>
              </w:rPr>
            </w:pPr>
            <w:r>
              <w:rPr>
                <w:bCs/>
              </w:rPr>
              <w:t>106,1</w:t>
            </w:r>
          </w:p>
        </w:tc>
        <w:tc>
          <w:tcPr>
            <w:tcW w:w="1407" w:type="dxa"/>
            <w:noWrap/>
            <w:vAlign w:val="center"/>
          </w:tcPr>
          <w:p w:rsidR="009F6146" w:rsidRPr="00B54E90" w:rsidRDefault="009F6146" w:rsidP="009F6146">
            <w:pPr>
              <w:jc w:val="right"/>
              <w:rPr>
                <w:bCs/>
              </w:rPr>
            </w:pPr>
            <w:r>
              <w:rPr>
                <w:bCs/>
              </w:rPr>
              <w:t>466.398.482</w:t>
            </w:r>
          </w:p>
        </w:tc>
      </w:tr>
    </w:tbl>
    <w:p w:rsidR="00527D09" w:rsidRDefault="00527D09" w:rsidP="009F6146">
      <w:pPr>
        <w:jc w:val="both"/>
      </w:pPr>
    </w:p>
    <w:p w:rsidR="009F6146" w:rsidRDefault="009F6146" w:rsidP="009F6146">
      <w:pPr>
        <w:jc w:val="both"/>
      </w:pPr>
      <w:r>
        <w:t>Vrijednosno najznačajnija imovina u pripremi odnosi se na vrijednost građevinskih objekata uz javne površine, ceste, javnu rasvjetu i groblja u iznosu 2.582.497.853 kn, cestovne i druge objekte 1.363.952.152 kn, nerazvrstane ceste 486.154.695 kn, objekte ustanova u kulturi 535.301.971 kn, objekte predškolskih i školskih ustanova 936.916.720 kn, sportske dvorane i rekreacijske objekte u iznosu 690.337.081,69 kn, objekte zdravstva i socijalne skrbi 282.173.112 kn te spomenike kulture 226.305.010,36 kn.</w:t>
      </w:r>
    </w:p>
    <w:p w:rsidR="009F6146" w:rsidRDefault="009F6146" w:rsidP="009F6146">
      <w:pPr>
        <w:jc w:val="both"/>
      </w:pPr>
      <w:r>
        <w:lastRenderedPageBreak/>
        <w:t xml:space="preserve">U odnosu na stanje početkom godine, vrijednost dugotrajne nefinancijske imovine u pripremi veća je za 466.398.482 kn, odnosno za 6,1  %. Prema donesenim programima, projektima i planovima u 2020. godini za kapitalna ulaganja u gradnju objekata društvenih djelatnosti, za radove na području prometa i komunalnog gospodarstva i u sklopu projekta energetske obnove, najznačajnija ulaganja su ulaganja u objekte komunalne infrastrukture  i prometa u iznosu 306.303.524 kn, objekte obrazovanja u iznosu 244.520.116 kn, zdravstvene objekte u iznosu 37.225.459 kn, objekte  kulture 11.954.002 kn, sportske objekte 31.684.906 kn i objekte gradske uprave u iznosu od 35.553.567 kn. Objekti društvenih djelatnosti u koje je izvršeno značajno ulaganje u izvještajnoj godini su Centar kulture Peščenica, Dječji vrtić </w:t>
      </w:r>
      <w:proofErr w:type="spellStart"/>
      <w:r>
        <w:t>Kustošija</w:t>
      </w:r>
      <w:proofErr w:type="spellEnd"/>
      <w:r>
        <w:t xml:space="preserve">, Dječji vrtić Središće, Dječji vrtić Čučerje, Osnovna škola </w:t>
      </w:r>
      <w:proofErr w:type="spellStart"/>
      <w:r>
        <w:t>Zapruđe</w:t>
      </w:r>
      <w:proofErr w:type="spellEnd"/>
      <w:r>
        <w:t xml:space="preserve">, Osnovna škola Lučko, Osnovna škola Dragutina </w:t>
      </w:r>
      <w:proofErr w:type="spellStart"/>
      <w:r>
        <w:t>Domjanića</w:t>
      </w:r>
      <w:proofErr w:type="spellEnd"/>
      <w:r>
        <w:t xml:space="preserve">, Osnovna škola Ksaver Šandor Gjalski, Osnovna škola </w:t>
      </w:r>
      <w:proofErr w:type="spellStart"/>
      <w:r>
        <w:t>Resnik</w:t>
      </w:r>
      <w:proofErr w:type="spellEnd"/>
      <w:r>
        <w:t xml:space="preserve">, Prehrambeno tehnološka škola, Osnovna škola Ivanja Reka, Odgojno obrazovni centar Središće, Dom zdravlja Zagreb centar (Kruge), Dom zdravlja Zagreb – ambulanta Lučko, SRC </w:t>
      </w:r>
      <w:proofErr w:type="spellStart"/>
      <w:r>
        <w:t>Sopot</w:t>
      </w:r>
      <w:proofErr w:type="spellEnd"/>
      <w:r>
        <w:t xml:space="preserve">, nogometna igrališta Sava i </w:t>
      </w:r>
      <w:proofErr w:type="spellStart"/>
      <w:r>
        <w:t>Čulinec</w:t>
      </w:r>
      <w:proofErr w:type="spellEnd"/>
      <w:r>
        <w:t xml:space="preserve">,  Glazbeno učilište </w:t>
      </w:r>
      <w:proofErr w:type="spellStart"/>
      <w:r>
        <w:t>Elly</w:t>
      </w:r>
      <w:proofErr w:type="spellEnd"/>
      <w:r>
        <w:t xml:space="preserve"> Bašić, Dom za starije Trešnjevka i dr. </w:t>
      </w:r>
    </w:p>
    <w:p w:rsidR="00BE5F8A" w:rsidRDefault="009F6146" w:rsidP="009F6146">
      <w:pPr>
        <w:jc w:val="both"/>
      </w:pPr>
      <w:r>
        <w:t xml:space="preserve">Smanjenje vrijednosti imovine u pripremi većim dijelom se odnosi na prijenose u dugotrajnu imovinu objekata na kojima je okončano kapitalno ulaganje. Na račune imovine prenesena su s pripreme: ulaganja na tuđoj imovini radi prava korištenja u iznosu 55.599.008 kn, građevinski objekti u iznosu 156.496.152 kn i oprema 883.619 kn. </w:t>
      </w:r>
    </w:p>
    <w:p w:rsidR="002C7A08" w:rsidRDefault="002C7A08" w:rsidP="009F6146">
      <w:pPr>
        <w:jc w:val="both"/>
      </w:pPr>
    </w:p>
    <w:p w:rsidR="009F6146" w:rsidRDefault="009F6146" w:rsidP="009F6146">
      <w:r w:rsidRPr="00A8746B">
        <w:rPr>
          <w:b/>
        </w:rPr>
        <w:t xml:space="preserve">Bilješka br. </w:t>
      </w:r>
      <w:r>
        <w:rPr>
          <w:b/>
        </w:rPr>
        <w:t>9</w:t>
      </w:r>
      <w:r w:rsidRPr="00A8746B">
        <w:t xml:space="preserve"> – </w:t>
      </w:r>
      <w:r w:rsidRPr="006627CA">
        <w:rPr>
          <w:b/>
        </w:rPr>
        <w:t xml:space="preserve">AOP 064 </w:t>
      </w:r>
      <w:r w:rsidRPr="006627CA">
        <w:rPr>
          <w:b/>
          <w:bCs/>
        </w:rPr>
        <w:t>Novac u banci i blagajni</w:t>
      </w:r>
    </w:p>
    <w:p w:rsidR="009F6146" w:rsidRDefault="009F6146" w:rsidP="009F6146">
      <w:pPr>
        <w:spacing w:after="0"/>
        <w:jc w:val="both"/>
      </w:pPr>
      <w:r>
        <w:t xml:space="preserve">Stanje novčanih sredstava na računima u bankama i blagajni iznose ukupno 64.969.462 kn. </w:t>
      </w:r>
    </w:p>
    <w:p w:rsidR="009F6146" w:rsidRDefault="009F6146" w:rsidP="009F6146">
      <w:pPr>
        <w:spacing w:after="0"/>
        <w:jc w:val="both"/>
      </w:pPr>
      <w:r>
        <w:t>Stanje novca kod tuzemnih poslovnih banaka iznosi 37.824.786 kn. Stanje na računu kod inozemne poslovne banke iznosi 7.735 kn. Na računima za posebne namjene izdvojena su novčana sredstva za isplate po sudskim i dr. rješenjima 7.735.984 kn, za isplatu naknade u postupcima izvlaštenja zemljišta 18.930.343 kn, za isplatu korisnicima putem uputnica 73.900 kn i za ostale namjene 396.714 kn.</w:t>
      </w:r>
    </w:p>
    <w:p w:rsidR="009F6146" w:rsidRDefault="009F6146" w:rsidP="009F6146">
      <w:pPr>
        <w:spacing w:after="0"/>
        <w:jc w:val="both"/>
      </w:pPr>
    </w:p>
    <w:p w:rsidR="00A234C4" w:rsidRDefault="00A234C4" w:rsidP="009F6146">
      <w:pPr>
        <w:rPr>
          <w:b/>
        </w:rPr>
      </w:pPr>
    </w:p>
    <w:p w:rsidR="009F6146" w:rsidRDefault="009F6146" w:rsidP="009F6146">
      <w:r w:rsidRPr="00505402">
        <w:rPr>
          <w:b/>
        </w:rPr>
        <w:t xml:space="preserve">Bilješka br. </w:t>
      </w:r>
      <w:r>
        <w:rPr>
          <w:b/>
        </w:rPr>
        <w:t>10</w:t>
      </w:r>
      <w:r>
        <w:t xml:space="preserve"> – </w:t>
      </w:r>
      <w:r w:rsidRPr="006627CA">
        <w:rPr>
          <w:b/>
        </w:rPr>
        <w:t>AOP 08</w:t>
      </w:r>
      <w:r>
        <w:rPr>
          <w:b/>
        </w:rPr>
        <w:t>1</w:t>
      </w:r>
      <w:r w:rsidRPr="006627CA">
        <w:rPr>
          <w:b/>
        </w:rPr>
        <w:t xml:space="preserve"> Ostala potraživanja</w:t>
      </w:r>
    </w:p>
    <w:tbl>
      <w:tblPr>
        <w:tblStyle w:val="TableGrid"/>
        <w:tblW w:w="0" w:type="auto"/>
        <w:tblLook w:val="04A0" w:firstRow="1" w:lastRow="0" w:firstColumn="1" w:lastColumn="0" w:noHBand="0" w:noVBand="1"/>
      </w:tblPr>
      <w:tblGrid>
        <w:gridCol w:w="805"/>
        <w:gridCol w:w="1847"/>
        <w:gridCol w:w="568"/>
        <w:gridCol w:w="1660"/>
        <w:gridCol w:w="1660"/>
        <w:gridCol w:w="1252"/>
        <w:gridCol w:w="1270"/>
      </w:tblGrid>
      <w:tr w:rsidR="009F6146" w:rsidRPr="00774066" w:rsidTr="009F6146">
        <w:trPr>
          <w:trHeight w:val="600"/>
        </w:trPr>
        <w:tc>
          <w:tcPr>
            <w:tcW w:w="0" w:type="auto"/>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0" w:type="auto"/>
            <w:shd w:val="clear" w:color="auto" w:fill="DEEAF6" w:themeFill="accent1" w:themeFillTint="33"/>
            <w:vAlign w:val="center"/>
            <w:hideMark/>
          </w:tcPr>
          <w:p w:rsidR="009F6146" w:rsidRPr="00774066" w:rsidRDefault="009F6146" w:rsidP="009F6146">
            <w:pPr>
              <w:jc w:val="center"/>
            </w:pPr>
            <w:r w:rsidRPr="00774066">
              <w:t>OPIS</w:t>
            </w:r>
          </w:p>
        </w:tc>
        <w:tc>
          <w:tcPr>
            <w:tcW w:w="0" w:type="auto"/>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0" w:type="auto"/>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1252"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270" w:type="dxa"/>
            <w:shd w:val="clear" w:color="auto" w:fill="DEEAF6" w:themeFill="accent1" w:themeFillTint="33"/>
            <w:vAlign w:val="center"/>
            <w:hideMark/>
          </w:tcPr>
          <w:p w:rsidR="009F6146" w:rsidRPr="00774066" w:rsidRDefault="009F6146" w:rsidP="009F6146">
            <w:pPr>
              <w:jc w:val="center"/>
            </w:pPr>
            <w:r>
              <w:t>Povećanje</w:t>
            </w:r>
            <w:r w:rsidRPr="00722C08">
              <w:t xml:space="preserve"> </w:t>
            </w:r>
          </w:p>
        </w:tc>
      </w:tr>
      <w:tr w:rsidR="009F6146" w:rsidRPr="00774066" w:rsidTr="009F6146">
        <w:trPr>
          <w:trHeight w:val="195"/>
        </w:trPr>
        <w:tc>
          <w:tcPr>
            <w:tcW w:w="0" w:type="auto"/>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0" w:type="auto"/>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0" w:type="auto"/>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0" w:type="auto"/>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0" w:type="auto"/>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1252" w:type="dxa"/>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270" w:type="dxa"/>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0362D3" w:rsidTr="009F6146">
        <w:trPr>
          <w:trHeight w:val="300"/>
        </w:trPr>
        <w:tc>
          <w:tcPr>
            <w:tcW w:w="0" w:type="auto"/>
            <w:noWrap/>
            <w:vAlign w:val="center"/>
            <w:hideMark/>
          </w:tcPr>
          <w:p w:rsidR="009F6146" w:rsidRPr="000362D3" w:rsidRDefault="009F6146" w:rsidP="009F6146">
            <w:pPr>
              <w:jc w:val="right"/>
            </w:pPr>
            <w:r>
              <w:t>129</w:t>
            </w:r>
          </w:p>
        </w:tc>
        <w:tc>
          <w:tcPr>
            <w:tcW w:w="0" w:type="auto"/>
            <w:vAlign w:val="center"/>
            <w:hideMark/>
          </w:tcPr>
          <w:p w:rsidR="009F6146" w:rsidRPr="000362D3" w:rsidRDefault="009F6146" w:rsidP="009F6146">
            <w:r>
              <w:t>Ostala potraživanja</w:t>
            </w:r>
          </w:p>
        </w:tc>
        <w:tc>
          <w:tcPr>
            <w:tcW w:w="0" w:type="auto"/>
            <w:noWrap/>
            <w:vAlign w:val="center"/>
            <w:hideMark/>
          </w:tcPr>
          <w:p w:rsidR="009F6146" w:rsidRPr="000362D3" w:rsidRDefault="009F6146" w:rsidP="009F6146">
            <w:pPr>
              <w:jc w:val="right"/>
            </w:pPr>
            <w:r>
              <w:t>081</w:t>
            </w:r>
          </w:p>
        </w:tc>
        <w:tc>
          <w:tcPr>
            <w:tcW w:w="0" w:type="auto"/>
            <w:noWrap/>
            <w:vAlign w:val="center"/>
            <w:hideMark/>
          </w:tcPr>
          <w:p w:rsidR="009F6146" w:rsidRPr="00E26CDE" w:rsidRDefault="009F6146" w:rsidP="009F6146">
            <w:pPr>
              <w:jc w:val="right"/>
            </w:pPr>
            <w:r>
              <w:t>15.492.406</w:t>
            </w:r>
          </w:p>
        </w:tc>
        <w:tc>
          <w:tcPr>
            <w:tcW w:w="0" w:type="auto"/>
            <w:noWrap/>
            <w:vAlign w:val="center"/>
          </w:tcPr>
          <w:p w:rsidR="009F6146" w:rsidRDefault="009F6146" w:rsidP="009F6146">
            <w:pPr>
              <w:jc w:val="right"/>
            </w:pPr>
            <w:r>
              <w:t>24.463.645</w:t>
            </w:r>
          </w:p>
        </w:tc>
        <w:tc>
          <w:tcPr>
            <w:tcW w:w="1252" w:type="dxa"/>
            <w:noWrap/>
            <w:vAlign w:val="center"/>
          </w:tcPr>
          <w:p w:rsidR="009F6146" w:rsidRPr="003F015E" w:rsidRDefault="009F6146" w:rsidP="009F6146">
            <w:pPr>
              <w:jc w:val="center"/>
            </w:pPr>
            <w:r>
              <w:t>157,9</w:t>
            </w:r>
          </w:p>
        </w:tc>
        <w:tc>
          <w:tcPr>
            <w:tcW w:w="1270" w:type="dxa"/>
            <w:noWrap/>
            <w:vAlign w:val="center"/>
          </w:tcPr>
          <w:p w:rsidR="009F6146" w:rsidRDefault="009F6146" w:rsidP="009F6146">
            <w:pPr>
              <w:jc w:val="right"/>
            </w:pPr>
            <w:r>
              <w:t>8.971.239</w:t>
            </w:r>
          </w:p>
        </w:tc>
      </w:tr>
    </w:tbl>
    <w:p w:rsidR="009F6146" w:rsidRDefault="009F6146" w:rsidP="009F6146">
      <w:pPr>
        <w:spacing w:after="0"/>
        <w:rPr>
          <w:b/>
        </w:rPr>
      </w:pPr>
    </w:p>
    <w:p w:rsidR="009F6146" w:rsidRPr="00806362" w:rsidRDefault="009F6146" w:rsidP="009F6146">
      <w:pPr>
        <w:jc w:val="both"/>
      </w:pPr>
      <w:r>
        <w:t>Stanje ostalih potraživanja odnosi se na naknade koje se refundiraju u iznosu 1.139.090 kn, predujmove u iznosu 8.030.071 kn, potraživanja od proračunskih korisnika za povrat u proračun u iznosu 10.680.550 kn i na ostala nespomenuta potraživanja u iznosu 4.613.934 kn.</w:t>
      </w:r>
    </w:p>
    <w:p w:rsidR="004F1269" w:rsidRDefault="004F1269" w:rsidP="009F6146">
      <w:pPr>
        <w:rPr>
          <w:b/>
        </w:rPr>
      </w:pPr>
    </w:p>
    <w:p w:rsidR="009F6146" w:rsidRPr="006627CA" w:rsidRDefault="009F6146" w:rsidP="009F6146">
      <w:pPr>
        <w:rPr>
          <w:b/>
        </w:rPr>
      </w:pPr>
      <w:r w:rsidRPr="00505402">
        <w:rPr>
          <w:b/>
        </w:rPr>
        <w:t>Bilješka br. 1</w:t>
      </w:r>
      <w:r>
        <w:rPr>
          <w:b/>
        </w:rPr>
        <w:t>1</w:t>
      </w:r>
      <w:r>
        <w:t xml:space="preserve"> </w:t>
      </w:r>
      <w:r w:rsidRPr="006627CA">
        <w:rPr>
          <w:b/>
        </w:rPr>
        <w:t>– AOP 11</w:t>
      </w:r>
      <w:r>
        <w:rPr>
          <w:b/>
        </w:rPr>
        <w:t>4</w:t>
      </w:r>
      <w:r w:rsidRPr="006627CA">
        <w:rPr>
          <w:b/>
        </w:rPr>
        <w:t xml:space="preserve"> Vrijednosni papiri</w:t>
      </w:r>
      <w:r>
        <w:rPr>
          <w:b/>
        </w:rPr>
        <w:t xml:space="preserve"> - tuzemni</w:t>
      </w:r>
    </w:p>
    <w:p w:rsidR="009F6146" w:rsidRDefault="009F6146" w:rsidP="009F6146">
      <w:pPr>
        <w:jc w:val="both"/>
      </w:pPr>
      <w:r>
        <w:t xml:space="preserve">S 31. prosincem 2020. izvršeno je knjigovodstveno usklađenje tržišne vrijednosti vrijednosnih papira kojima raspolaže Grad Zagreb prema obavijesti Središnje klirinško depozitarne agencije gdje je tržišna vrijednost obveznica oznake LNGU-O-31AE koje kotiraju na tržištu kapitala, veća za 423.550 kn u odnosu na prošlogodišnju vrijednost. </w:t>
      </w:r>
    </w:p>
    <w:p w:rsidR="002C7A08" w:rsidRDefault="002C7A08" w:rsidP="009F6146">
      <w:pPr>
        <w:jc w:val="both"/>
      </w:pPr>
      <w:bookmarkStart w:id="3" w:name="_GoBack"/>
      <w:bookmarkEnd w:id="3"/>
    </w:p>
    <w:p w:rsidR="009F6146" w:rsidRDefault="009F6146" w:rsidP="009F6146">
      <w:r w:rsidRPr="00EA7C57">
        <w:rPr>
          <w:b/>
        </w:rPr>
        <w:lastRenderedPageBreak/>
        <w:t>Bilješka br. 1</w:t>
      </w:r>
      <w:r>
        <w:rPr>
          <w:b/>
        </w:rPr>
        <w:t>2</w:t>
      </w:r>
      <w:r w:rsidRPr="00EA7C57">
        <w:t xml:space="preserve"> – </w:t>
      </w:r>
      <w:r w:rsidRPr="00EA7C57">
        <w:rPr>
          <w:b/>
        </w:rPr>
        <w:t>AOP 141 Potraživanja za prihode poslovanja</w:t>
      </w:r>
    </w:p>
    <w:tbl>
      <w:tblPr>
        <w:tblStyle w:val="TableGrid"/>
        <w:tblW w:w="0" w:type="auto"/>
        <w:tblLook w:val="04A0" w:firstRow="1" w:lastRow="0" w:firstColumn="1" w:lastColumn="0" w:noHBand="0" w:noVBand="1"/>
      </w:tblPr>
      <w:tblGrid>
        <w:gridCol w:w="805"/>
        <w:gridCol w:w="2110"/>
        <w:gridCol w:w="568"/>
        <w:gridCol w:w="1660"/>
        <w:gridCol w:w="1660"/>
        <w:gridCol w:w="1128"/>
        <w:gridCol w:w="1131"/>
      </w:tblGrid>
      <w:tr w:rsidR="009F6146" w:rsidRPr="00774066" w:rsidTr="009F6146">
        <w:trPr>
          <w:trHeight w:val="600"/>
        </w:trPr>
        <w:tc>
          <w:tcPr>
            <w:tcW w:w="0" w:type="auto"/>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0" w:type="auto"/>
            <w:shd w:val="clear" w:color="auto" w:fill="DEEAF6" w:themeFill="accent1" w:themeFillTint="33"/>
            <w:vAlign w:val="center"/>
            <w:hideMark/>
          </w:tcPr>
          <w:p w:rsidR="009F6146" w:rsidRPr="00774066" w:rsidRDefault="009F6146" w:rsidP="009F6146">
            <w:pPr>
              <w:jc w:val="center"/>
            </w:pPr>
            <w:r w:rsidRPr="00774066">
              <w:t>OPIS</w:t>
            </w:r>
          </w:p>
        </w:tc>
        <w:tc>
          <w:tcPr>
            <w:tcW w:w="0" w:type="auto"/>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0" w:type="auto"/>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0" w:type="auto"/>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0" w:type="auto"/>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0" w:type="auto"/>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0" w:type="auto"/>
            <w:tcBorders>
              <w:bottom w:val="single" w:sz="4" w:space="0" w:color="auto"/>
            </w:tcBorders>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0" w:type="auto"/>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0" w:type="auto"/>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0" w:type="auto"/>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0" w:type="auto"/>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0" w:type="auto"/>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8647FA">
              <w:rPr>
                <w:sz w:val="16"/>
                <w:szCs w:val="16"/>
              </w:rPr>
              <w:t>7=5-4</w:t>
            </w:r>
          </w:p>
        </w:tc>
      </w:tr>
      <w:tr w:rsidR="009F6146" w:rsidRPr="000362D3" w:rsidTr="009F6146">
        <w:trPr>
          <w:trHeight w:val="300"/>
        </w:trPr>
        <w:tc>
          <w:tcPr>
            <w:tcW w:w="0" w:type="auto"/>
            <w:noWrap/>
            <w:vAlign w:val="center"/>
            <w:hideMark/>
          </w:tcPr>
          <w:p w:rsidR="009F6146" w:rsidRPr="000362D3" w:rsidRDefault="009F6146" w:rsidP="009F6146">
            <w:pPr>
              <w:jc w:val="right"/>
            </w:pPr>
            <w:r>
              <w:t>16</w:t>
            </w:r>
          </w:p>
        </w:tc>
        <w:tc>
          <w:tcPr>
            <w:tcW w:w="0" w:type="auto"/>
            <w:vAlign w:val="center"/>
            <w:hideMark/>
          </w:tcPr>
          <w:p w:rsidR="009F6146" w:rsidRPr="000362D3" w:rsidRDefault="009F6146" w:rsidP="009F6146">
            <w:r w:rsidRPr="00B8426F">
              <w:t>Potraživanja za prihode poslovanja</w:t>
            </w:r>
          </w:p>
        </w:tc>
        <w:tc>
          <w:tcPr>
            <w:tcW w:w="0" w:type="auto"/>
            <w:noWrap/>
            <w:vAlign w:val="center"/>
            <w:hideMark/>
          </w:tcPr>
          <w:p w:rsidR="009F6146" w:rsidRPr="000362D3" w:rsidRDefault="009F6146" w:rsidP="009F6146">
            <w:pPr>
              <w:jc w:val="right"/>
            </w:pPr>
            <w:r>
              <w:t>141</w:t>
            </w:r>
          </w:p>
        </w:tc>
        <w:tc>
          <w:tcPr>
            <w:tcW w:w="0" w:type="auto"/>
            <w:noWrap/>
            <w:vAlign w:val="center"/>
            <w:hideMark/>
          </w:tcPr>
          <w:p w:rsidR="009F6146" w:rsidRPr="00E26CDE" w:rsidRDefault="009F6146" w:rsidP="009F6146">
            <w:pPr>
              <w:jc w:val="right"/>
            </w:pPr>
            <w:r w:rsidRPr="00D3261B">
              <w:t>371.339.624</w:t>
            </w:r>
          </w:p>
        </w:tc>
        <w:tc>
          <w:tcPr>
            <w:tcW w:w="0" w:type="auto"/>
            <w:noWrap/>
            <w:vAlign w:val="center"/>
          </w:tcPr>
          <w:p w:rsidR="009F6146" w:rsidRDefault="009F6146" w:rsidP="009F6146">
            <w:pPr>
              <w:jc w:val="right"/>
            </w:pPr>
            <w:r>
              <w:t>379.235.220</w:t>
            </w:r>
          </w:p>
        </w:tc>
        <w:tc>
          <w:tcPr>
            <w:tcW w:w="0" w:type="auto"/>
            <w:noWrap/>
            <w:vAlign w:val="center"/>
          </w:tcPr>
          <w:p w:rsidR="009F6146" w:rsidRPr="003F015E" w:rsidRDefault="009F6146" w:rsidP="009F6146">
            <w:pPr>
              <w:jc w:val="center"/>
            </w:pPr>
            <w:r>
              <w:t>102,1</w:t>
            </w:r>
          </w:p>
        </w:tc>
        <w:tc>
          <w:tcPr>
            <w:tcW w:w="0" w:type="auto"/>
            <w:noWrap/>
            <w:vAlign w:val="center"/>
          </w:tcPr>
          <w:p w:rsidR="009F6146" w:rsidRDefault="009F6146" w:rsidP="009F6146">
            <w:pPr>
              <w:jc w:val="right"/>
            </w:pPr>
            <w:r>
              <w:t>7.895.596</w:t>
            </w:r>
          </w:p>
        </w:tc>
      </w:tr>
    </w:tbl>
    <w:p w:rsidR="009F6146" w:rsidRDefault="009F6146" w:rsidP="009F6146">
      <w:pPr>
        <w:spacing w:after="0"/>
      </w:pPr>
    </w:p>
    <w:p w:rsidR="009F6146" w:rsidRDefault="009F6146" w:rsidP="009F6146">
      <w:pPr>
        <w:jc w:val="both"/>
      </w:pPr>
      <w:r>
        <w:t xml:space="preserve">Potraživanja za prihode poslovanja koncem 2020. iznose 2.158.898.759 kn, odnosno u iznosu 379.235.220 kn nakon ispravka vrijednosti. U odnosu na prethodnu godinu, potraživanja za prihode poslovanja veća su za 7.895.596 kn ili 2 %. </w:t>
      </w:r>
    </w:p>
    <w:p w:rsidR="009F6146" w:rsidRDefault="009F6146" w:rsidP="009F6146">
      <w:r w:rsidRPr="00EA7C57">
        <w:rPr>
          <w:b/>
        </w:rPr>
        <w:t>Bilješka br. 1</w:t>
      </w:r>
      <w:r>
        <w:rPr>
          <w:b/>
        </w:rPr>
        <w:t>3</w:t>
      </w:r>
      <w:r w:rsidRPr="00EA7C57">
        <w:t xml:space="preserve"> </w:t>
      </w:r>
      <w:r w:rsidRPr="00EA7C57">
        <w:rPr>
          <w:b/>
        </w:rPr>
        <w:t>– AOP 152 Potraživanja za prihode od imovine</w:t>
      </w:r>
    </w:p>
    <w:p w:rsidR="009F6146" w:rsidRDefault="009F6146" w:rsidP="009F6146">
      <w:r>
        <w:t>Potraživanja za prihode od imovine odnose se na:</w:t>
      </w:r>
    </w:p>
    <w:tbl>
      <w:tblPr>
        <w:tblW w:w="9098" w:type="dxa"/>
        <w:tblLook w:val="04A0" w:firstRow="1" w:lastRow="0" w:firstColumn="1" w:lastColumn="0" w:noHBand="0" w:noVBand="1"/>
      </w:tblPr>
      <w:tblGrid>
        <w:gridCol w:w="1109"/>
        <w:gridCol w:w="3485"/>
        <w:gridCol w:w="1503"/>
        <w:gridCol w:w="1503"/>
        <w:gridCol w:w="1498"/>
      </w:tblGrid>
      <w:tr w:rsidR="009F6146" w:rsidRPr="00C730C4" w:rsidTr="009F6146">
        <w:trPr>
          <w:trHeight w:val="303"/>
        </w:trPr>
        <w:tc>
          <w:tcPr>
            <w:tcW w:w="110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sz w:val="20"/>
                <w:szCs w:val="20"/>
                <w:lang w:eastAsia="hr-HR"/>
              </w:rPr>
            </w:pPr>
            <w:r w:rsidRPr="00C730C4">
              <w:rPr>
                <w:rFonts w:ascii="Calibri" w:eastAsia="Times New Roman" w:hAnsi="Calibri" w:cs="Calibri"/>
                <w:sz w:val="20"/>
                <w:szCs w:val="20"/>
                <w:lang w:eastAsia="hr-HR"/>
              </w:rPr>
              <w:t>BROJ RAČUNA</w:t>
            </w:r>
          </w:p>
        </w:tc>
        <w:tc>
          <w:tcPr>
            <w:tcW w:w="348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NAZIV</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Stanje 01.01.</w:t>
            </w:r>
            <w:r>
              <w:rPr>
                <w:rFonts w:ascii="Calibri" w:eastAsia="Times New Roman" w:hAnsi="Calibri" w:cs="Calibri"/>
                <w:lang w:eastAsia="hr-HR"/>
              </w:rPr>
              <w:t>20</w:t>
            </w:r>
            <w:r w:rsidRPr="00C730C4">
              <w:rPr>
                <w:rFonts w:ascii="Calibri" w:eastAsia="Times New Roman" w:hAnsi="Calibri" w:cs="Calibri"/>
                <w:lang w:eastAsia="hr-HR"/>
              </w:rPr>
              <w:t>.</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Stanje 31.12.</w:t>
            </w:r>
            <w:r>
              <w:rPr>
                <w:rFonts w:ascii="Calibri" w:eastAsia="Times New Roman" w:hAnsi="Calibri" w:cs="Calibri"/>
                <w:lang w:eastAsia="hr-HR"/>
              </w:rPr>
              <w:t>20</w:t>
            </w:r>
            <w:r w:rsidRPr="00C730C4">
              <w:rPr>
                <w:rFonts w:ascii="Calibri" w:eastAsia="Times New Roman" w:hAnsi="Calibri" w:cs="Calibri"/>
                <w:lang w:eastAsia="hr-HR"/>
              </w:rPr>
              <w:t>.</w:t>
            </w:r>
          </w:p>
        </w:tc>
        <w:tc>
          <w:tcPr>
            <w:tcW w:w="1498" w:type="dxa"/>
            <w:tcBorders>
              <w:top w:val="single" w:sz="4" w:space="0" w:color="auto"/>
              <w:left w:val="nil"/>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Povećanje/</w:t>
            </w:r>
          </w:p>
        </w:tc>
      </w:tr>
      <w:tr w:rsidR="009F6146" w:rsidRPr="00C730C4" w:rsidTr="009F6146">
        <w:trPr>
          <w:trHeight w:val="303"/>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9F6146" w:rsidRPr="00C730C4" w:rsidRDefault="009F6146" w:rsidP="009F6146">
            <w:pPr>
              <w:spacing w:after="0" w:line="240" w:lineRule="auto"/>
              <w:rPr>
                <w:rFonts w:ascii="Calibri" w:eastAsia="Times New Roman" w:hAnsi="Calibri" w:cs="Calibri"/>
                <w:sz w:val="20"/>
                <w:szCs w:val="20"/>
                <w:lang w:eastAsia="hr-HR"/>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9F6146" w:rsidRPr="00C730C4" w:rsidRDefault="009F6146" w:rsidP="009F6146">
            <w:pPr>
              <w:spacing w:after="0" w:line="240" w:lineRule="auto"/>
              <w:rPr>
                <w:rFonts w:ascii="Calibri" w:eastAsia="Times New Roman" w:hAnsi="Calibri" w:cs="Calibri"/>
                <w:lang w:eastAsia="hr-HR"/>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9F6146" w:rsidRPr="00C730C4" w:rsidRDefault="009F6146" w:rsidP="009F6146">
            <w:pPr>
              <w:spacing w:after="0" w:line="240" w:lineRule="auto"/>
              <w:rPr>
                <w:rFonts w:ascii="Calibri" w:eastAsia="Times New Roman" w:hAnsi="Calibri" w:cs="Calibri"/>
                <w:lang w:eastAsia="hr-HR"/>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9F6146" w:rsidRPr="00C730C4" w:rsidRDefault="009F6146" w:rsidP="009F6146">
            <w:pPr>
              <w:spacing w:after="0" w:line="240" w:lineRule="auto"/>
              <w:rPr>
                <w:rFonts w:ascii="Calibri" w:eastAsia="Times New Roman" w:hAnsi="Calibri" w:cs="Calibri"/>
                <w:lang w:eastAsia="hr-HR"/>
              </w:rPr>
            </w:pPr>
          </w:p>
        </w:tc>
        <w:tc>
          <w:tcPr>
            <w:tcW w:w="1498" w:type="dxa"/>
            <w:tcBorders>
              <w:top w:val="nil"/>
              <w:left w:val="nil"/>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Smanjenje</w:t>
            </w:r>
          </w:p>
        </w:tc>
      </w:tr>
      <w:tr w:rsidR="009F6146" w:rsidRPr="00C730C4" w:rsidTr="009F6146">
        <w:trPr>
          <w:trHeight w:val="257"/>
        </w:trPr>
        <w:tc>
          <w:tcPr>
            <w:tcW w:w="1109" w:type="dxa"/>
            <w:tcBorders>
              <w:top w:val="nil"/>
              <w:left w:val="single" w:sz="4" w:space="0" w:color="auto"/>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sz w:val="16"/>
                <w:szCs w:val="16"/>
                <w:lang w:eastAsia="hr-HR"/>
              </w:rPr>
            </w:pPr>
            <w:r w:rsidRPr="00C730C4">
              <w:rPr>
                <w:rFonts w:ascii="Calibri" w:eastAsia="Times New Roman" w:hAnsi="Calibri" w:cs="Calibri"/>
                <w:sz w:val="16"/>
                <w:szCs w:val="16"/>
                <w:lang w:eastAsia="hr-HR"/>
              </w:rPr>
              <w:t>1</w:t>
            </w:r>
          </w:p>
        </w:tc>
        <w:tc>
          <w:tcPr>
            <w:tcW w:w="3485" w:type="dxa"/>
            <w:tcBorders>
              <w:top w:val="nil"/>
              <w:left w:val="nil"/>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sz w:val="16"/>
                <w:szCs w:val="16"/>
                <w:lang w:eastAsia="hr-HR"/>
              </w:rPr>
            </w:pPr>
            <w:r w:rsidRPr="00C730C4">
              <w:rPr>
                <w:rFonts w:ascii="Calibri" w:eastAsia="Times New Roman" w:hAnsi="Calibri" w:cs="Calibri"/>
                <w:sz w:val="16"/>
                <w:szCs w:val="16"/>
                <w:lang w:eastAsia="hr-HR"/>
              </w:rPr>
              <w:t>2</w:t>
            </w:r>
          </w:p>
        </w:tc>
        <w:tc>
          <w:tcPr>
            <w:tcW w:w="1503" w:type="dxa"/>
            <w:tcBorders>
              <w:top w:val="nil"/>
              <w:left w:val="nil"/>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sz w:val="16"/>
                <w:szCs w:val="16"/>
                <w:lang w:eastAsia="hr-HR"/>
              </w:rPr>
            </w:pPr>
            <w:r w:rsidRPr="00C730C4">
              <w:rPr>
                <w:rFonts w:ascii="Calibri" w:eastAsia="Times New Roman" w:hAnsi="Calibri" w:cs="Calibri"/>
                <w:sz w:val="16"/>
                <w:szCs w:val="16"/>
                <w:lang w:eastAsia="hr-HR"/>
              </w:rPr>
              <w:t>3</w:t>
            </w:r>
          </w:p>
        </w:tc>
        <w:tc>
          <w:tcPr>
            <w:tcW w:w="1503" w:type="dxa"/>
            <w:tcBorders>
              <w:top w:val="nil"/>
              <w:left w:val="nil"/>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sz w:val="16"/>
                <w:szCs w:val="16"/>
                <w:lang w:eastAsia="hr-HR"/>
              </w:rPr>
            </w:pPr>
            <w:r w:rsidRPr="00C730C4">
              <w:rPr>
                <w:rFonts w:ascii="Calibri" w:eastAsia="Times New Roman" w:hAnsi="Calibri" w:cs="Calibri"/>
                <w:sz w:val="16"/>
                <w:szCs w:val="16"/>
                <w:lang w:eastAsia="hr-HR"/>
              </w:rPr>
              <w:t>4</w:t>
            </w:r>
          </w:p>
        </w:tc>
        <w:tc>
          <w:tcPr>
            <w:tcW w:w="1498" w:type="dxa"/>
            <w:tcBorders>
              <w:top w:val="nil"/>
              <w:left w:val="nil"/>
              <w:bottom w:val="single" w:sz="4" w:space="0" w:color="auto"/>
              <w:right w:val="single" w:sz="4" w:space="0" w:color="auto"/>
            </w:tcBorders>
            <w:shd w:val="clear" w:color="000000" w:fill="DEEAF6"/>
            <w:vAlign w:val="center"/>
            <w:hideMark/>
          </w:tcPr>
          <w:p w:rsidR="009F6146" w:rsidRPr="00C730C4" w:rsidRDefault="009F6146" w:rsidP="009F6146">
            <w:pPr>
              <w:spacing w:after="0" w:line="240" w:lineRule="auto"/>
              <w:jc w:val="center"/>
              <w:rPr>
                <w:rFonts w:ascii="Calibri" w:eastAsia="Times New Roman" w:hAnsi="Calibri" w:cs="Calibri"/>
                <w:sz w:val="16"/>
                <w:szCs w:val="16"/>
                <w:lang w:eastAsia="hr-HR"/>
              </w:rPr>
            </w:pPr>
            <w:r w:rsidRPr="00C730C4">
              <w:rPr>
                <w:rFonts w:ascii="Calibri" w:eastAsia="Times New Roman" w:hAnsi="Calibri" w:cs="Calibri"/>
                <w:sz w:val="16"/>
                <w:szCs w:val="16"/>
                <w:lang w:eastAsia="hr-HR"/>
              </w:rPr>
              <w:t>5=4-3</w:t>
            </w:r>
          </w:p>
        </w:tc>
      </w:tr>
      <w:tr w:rsidR="009F6146" w:rsidRPr="00C730C4" w:rsidTr="009F6146">
        <w:trPr>
          <w:trHeight w:val="909"/>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16413</w:t>
            </w:r>
          </w:p>
        </w:tc>
        <w:tc>
          <w:tcPr>
            <w:tcW w:w="3485"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sidRPr="00C730C4">
              <w:rPr>
                <w:rFonts w:ascii="Calibri" w:eastAsia="Times New Roman" w:hAnsi="Calibri" w:cs="Calibri"/>
                <w:lang w:eastAsia="hr-HR"/>
              </w:rPr>
              <w:t>Kamate na oročena sredstva i depozite po viđenju – Centar banka d.d. u stečaju</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83.178</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83.178</w:t>
            </w:r>
          </w:p>
        </w:tc>
        <w:tc>
          <w:tcPr>
            <w:tcW w:w="1498"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0</w:t>
            </w:r>
          </w:p>
        </w:tc>
      </w:tr>
      <w:tr w:rsidR="009F6146" w:rsidRPr="00C730C4" w:rsidTr="009F6146">
        <w:trPr>
          <w:trHeight w:val="303"/>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16414</w:t>
            </w:r>
          </w:p>
        </w:tc>
        <w:tc>
          <w:tcPr>
            <w:tcW w:w="3485" w:type="dxa"/>
            <w:tcBorders>
              <w:top w:val="single" w:sz="4" w:space="0" w:color="auto"/>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sidRPr="00C730C4">
              <w:rPr>
                <w:rFonts w:ascii="Calibri" w:eastAsia="Times New Roman" w:hAnsi="Calibri" w:cs="Calibri"/>
                <w:lang w:eastAsia="hr-HR"/>
              </w:rPr>
              <w:t xml:space="preserve">Zatezne kamate </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96.030.512</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94.303.253</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-1.727.259</w:t>
            </w:r>
          </w:p>
        </w:tc>
      </w:tr>
      <w:tr w:rsidR="009F6146" w:rsidRPr="00C730C4" w:rsidTr="009F6146">
        <w:trPr>
          <w:trHeight w:val="606"/>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16421</w:t>
            </w:r>
          </w:p>
        </w:tc>
        <w:tc>
          <w:tcPr>
            <w:tcW w:w="3485" w:type="dxa"/>
            <w:tcBorders>
              <w:top w:val="single" w:sz="4" w:space="0" w:color="auto"/>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Pr>
                <w:rFonts w:ascii="Calibri" w:eastAsia="Times New Roman" w:hAnsi="Calibri" w:cs="Calibri"/>
                <w:lang w:eastAsia="hr-HR"/>
              </w:rPr>
              <w:t>Dane k</w:t>
            </w:r>
            <w:r w:rsidRPr="00C730C4">
              <w:rPr>
                <w:rFonts w:ascii="Calibri" w:eastAsia="Times New Roman" w:hAnsi="Calibri" w:cs="Calibri"/>
                <w:lang w:eastAsia="hr-HR"/>
              </w:rPr>
              <w:t xml:space="preserve">oncesije </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995.333</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103.774</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-891.559</w:t>
            </w:r>
          </w:p>
        </w:tc>
      </w:tr>
      <w:tr w:rsidR="009F6146" w:rsidRPr="00C730C4" w:rsidTr="009F6146">
        <w:trPr>
          <w:trHeight w:val="303"/>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16422</w:t>
            </w:r>
          </w:p>
        </w:tc>
        <w:tc>
          <w:tcPr>
            <w:tcW w:w="3485"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sidRPr="00C730C4">
              <w:rPr>
                <w:rFonts w:ascii="Calibri" w:eastAsia="Times New Roman" w:hAnsi="Calibri" w:cs="Calibri"/>
                <w:lang w:eastAsia="hr-HR"/>
              </w:rPr>
              <w:t xml:space="preserve">Zakup </w:t>
            </w:r>
            <w:r>
              <w:rPr>
                <w:rFonts w:ascii="Calibri" w:eastAsia="Times New Roman" w:hAnsi="Calibri" w:cs="Calibri"/>
                <w:lang w:eastAsia="hr-HR"/>
              </w:rPr>
              <w:t>i iznajmljivanje imovine</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50.397.400</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358.129.379</w:t>
            </w:r>
          </w:p>
        </w:tc>
        <w:tc>
          <w:tcPr>
            <w:tcW w:w="1498"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307.731.979</w:t>
            </w:r>
          </w:p>
        </w:tc>
      </w:tr>
      <w:tr w:rsidR="009F6146" w:rsidRPr="00C730C4" w:rsidTr="009F6146">
        <w:trPr>
          <w:trHeight w:val="303"/>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16423</w:t>
            </w:r>
          </w:p>
        </w:tc>
        <w:tc>
          <w:tcPr>
            <w:tcW w:w="3485"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Pr>
                <w:rFonts w:ascii="Calibri" w:eastAsia="Times New Roman" w:hAnsi="Calibri" w:cs="Calibri"/>
                <w:lang w:eastAsia="hr-HR"/>
              </w:rPr>
              <w:t>Korištenje nefinancijske imovine</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6.329.802</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51.588.801</w:t>
            </w:r>
          </w:p>
        </w:tc>
        <w:tc>
          <w:tcPr>
            <w:tcW w:w="1498"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45.258.999</w:t>
            </w:r>
          </w:p>
        </w:tc>
      </w:tr>
      <w:tr w:rsidR="009F6146" w:rsidRPr="00C730C4" w:rsidTr="009F6146">
        <w:trPr>
          <w:trHeight w:val="303"/>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16424</w:t>
            </w:r>
          </w:p>
        </w:tc>
        <w:tc>
          <w:tcPr>
            <w:tcW w:w="3485"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Pr>
                <w:rFonts w:ascii="Calibri" w:eastAsia="Times New Roman" w:hAnsi="Calibri" w:cs="Calibri"/>
                <w:lang w:eastAsia="hr-HR"/>
              </w:rPr>
              <w:t>Naknade</w:t>
            </w:r>
            <w:r w:rsidRPr="00C730C4">
              <w:rPr>
                <w:rFonts w:ascii="Calibri" w:eastAsia="Times New Roman" w:hAnsi="Calibri" w:cs="Calibri"/>
                <w:lang w:eastAsia="hr-HR"/>
              </w:rPr>
              <w:t xml:space="preserve"> za </w:t>
            </w:r>
            <w:r>
              <w:rPr>
                <w:rFonts w:ascii="Calibri" w:eastAsia="Times New Roman" w:hAnsi="Calibri" w:cs="Calibri"/>
                <w:lang w:eastAsia="hr-HR"/>
              </w:rPr>
              <w:t>ceste</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559.386</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611.522</w:t>
            </w:r>
          </w:p>
        </w:tc>
        <w:tc>
          <w:tcPr>
            <w:tcW w:w="1498"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52.136</w:t>
            </w:r>
          </w:p>
        </w:tc>
      </w:tr>
      <w:tr w:rsidR="009F6146" w:rsidRPr="00C730C4" w:rsidTr="009F6146">
        <w:trPr>
          <w:trHeight w:val="606"/>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16429</w:t>
            </w:r>
          </w:p>
        </w:tc>
        <w:tc>
          <w:tcPr>
            <w:tcW w:w="3485"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Pr>
                <w:rFonts w:ascii="Calibri" w:eastAsia="Times New Roman" w:hAnsi="Calibri" w:cs="Calibri"/>
                <w:lang w:eastAsia="hr-HR"/>
              </w:rPr>
              <w:t>Ostali prihodi od nefinancijske imovine</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21.558.341</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19.512.001</w:t>
            </w:r>
          </w:p>
        </w:tc>
        <w:tc>
          <w:tcPr>
            <w:tcW w:w="1498"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-2.046.340</w:t>
            </w:r>
          </w:p>
        </w:tc>
      </w:tr>
      <w:tr w:rsidR="009F6146" w:rsidRPr="00C730C4" w:rsidTr="009F6146">
        <w:trPr>
          <w:trHeight w:val="1213"/>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16435</w:t>
            </w:r>
          </w:p>
        </w:tc>
        <w:tc>
          <w:tcPr>
            <w:tcW w:w="3485" w:type="dxa"/>
            <w:tcBorders>
              <w:top w:val="single" w:sz="4" w:space="0" w:color="auto"/>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sidRPr="00C730C4">
              <w:rPr>
                <w:rFonts w:ascii="Calibri" w:eastAsia="Times New Roman" w:hAnsi="Calibri" w:cs="Calibri"/>
                <w:lang w:eastAsia="hr-HR"/>
              </w:rPr>
              <w:t>Kamate na dane zajmove kreditnim i ostalim financijskim institucijama izvan javnog sektora – Drvo Sertić d.o.o.</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1.355.687</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1.355.687</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0</w:t>
            </w:r>
          </w:p>
        </w:tc>
      </w:tr>
      <w:tr w:rsidR="009F6146" w:rsidRPr="00C730C4" w:rsidTr="009F6146">
        <w:trPr>
          <w:trHeight w:val="909"/>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lang w:eastAsia="hr-HR"/>
              </w:rPr>
            </w:pPr>
            <w:r w:rsidRPr="00C730C4">
              <w:rPr>
                <w:rFonts w:ascii="Calibri" w:eastAsia="Times New Roman" w:hAnsi="Calibri" w:cs="Calibri"/>
                <w:lang w:eastAsia="hr-HR"/>
              </w:rPr>
              <w:t>16436</w:t>
            </w:r>
          </w:p>
        </w:tc>
        <w:tc>
          <w:tcPr>
            <w:tcW w:w="3485"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sidRPr="00C730C4">
              <w:rPr>
                <w:rFonts w:ascii="Calibri" w:eastAsia="Times New Roman" w:hAnsi="Calibri" w:cs="Calibri"/>
                <w:lang w:eastAsia="hr-HR"/>
              </w:rPr>
              <w:t>Kamate na dane zajmove trgovačkim društvima i obrtnicima izvan javnog sektora – SANK d.o.o.</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136.714</w:t>
            </w:r>
          </w:p>
        </w:tc>
        <w:tc>
          <w:tcPr>
            <w:tcW w:w="1503" w:type="dxa"/>
            <w:tcBorders>
              <w:top w:val="nil"/>
              <w:left w:val="nil"/>
              <w:bottom w:val="single" w:sz="4" w:space="0" w:color="auto"/>
              <w:right w:val="single" w:sz="4" w:space="0" w:color="auto"/>
            </w:tcBorders>
            <w:shd w:val="clear" w:color="000000" w:fill="FFFFFF"/>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136.714</w:t>
            </w:r>
          </w:p>
        </w:tc>
        <w:tc>
          <w:tcPr>
            <w:tcW w:w="1498"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sidRPr="00C730C4">
              <w:rPr>
                <w:rFonts w:ascii="Calibri" w:eastAsia="Times New Roman" w:hAnsi="Calibri" w:cs="Calibri"/>
                <w:lang w:eastAsia="hr-HR"/>
              </w:rPr>
              <w:t>0</w:t>
            </w:r>
          </w:p>
        </w:tc>
      </w:tr>
      <w:tr w:rsidR="009F6146" w:rsidRPr="00C730C4" w:rsidTr="009F6146">
        <w:trPr>
          <w:trHeight w:val="303"/>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center"/>
              <w:rPr>
                <w:rFonts w:ascii="Calibri" w:eastAsia="Times New Roman" w:hAnsi="Calibri" w:cs="Calibri"/>
                <w:b/>
                <w:bCs/>
                <w:lang w:eastAsia="hr-HR"/>
              </w:rPr>
            </w:pPr>
            <w:r w:rsidRPr="00C730C4">
              <w:rPr>
                <w:rFonts w:ascii="Calibri" w:eastAsia="Times New Roman" w:hAnsi="Calibri" w:cs="Calibri"/>
                <w:b/>
                <w:bCs/>
                <w:lang w:eastAsia="hr-HR"/>
              </w:rPr>
              <w:t> </w:t>
            </w:r>
          </w:p>
        </w:tc>
        <w:tc>
          <w:tcPr>
            <w:tcW w:w="3485"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rPr>
                <w:rFonts w:ascii="Calibri" w:eastAsia="Times New Roman" w:hAnsi="Calibri" w:cs="Calibri"/>
                <w:lang w:eastAsia="hr-HR"/>
              </w:rPr>
            </w:pPr>
            <w:r w:rsidRPr="00C730C4">
              <w:rPr>
                <w:rFonts w:ascii="Calibri" w:eastAsia="Times New Roman" w:hAnsi="Calibri" w:cs="Calibri"/>
                <w:lang w:eastAsia="hr-HR"/>
              </w:rPr>
              <w:t>UKUPNO</w:t>
            </w:r>
          </w:p>
        </w:tc>
        <w:tc>
          <w:tcPr>
            <w:tcW w:w="1503"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177.446.355</w:t>
            </w:r>
          </w:p>
        </w:tc>
        <w:tc>
          <w:tcPr>
            <w:tcW w:w="1503"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525.824.310</w:t>
            </w:r>
          </w:p>
        </w:tc>
        <w:tc>
          <w:tcPr>
            <w:tcW w:w="1498" w:type="dxa"/>
            <w:tcBorders>
              <w:top w:val="nil"/>
              <w:left w:val="nil"/>
              <w:bottom w:val="single" w:sz="4" w:space="0" w:color="auto"/>
              <w:right w:val="single" w:sz="4" w:space="0" w:color="auto"/>
            </w:tcBorders>
            <w:shd w:val="clear" w:color="auto" w:fill="auto"/>
            <w:vAlign w:val="center"/>
            <w:hideMark/>
          </w:tcPr>
          <w:p w:rsidR="009F6146" w:rsidRPr="00C730C4"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348.377.955</w:t>
            </w:r>
          </w:p>
        </w:tc>
      </w:tr>
    </w:tbl>
    <w:p w:rsidR="004120DD" w:rsidRDefault="004120DD" w:rsidP="009F6146">
      <w:pPr>
        <w:spacing w:after="0"/>
        <w:jc w:val="both"/>
        <w:rPr>
          <w:b/>
        </w:rPr>
      </w:pPr>
    </w:p>
    <w:p w:rsidR="009F6146" w:rsidRPr="00D820DC" w:rsidRDefault="009F6146" w:rsidP="009F6146">
      <w:pPr>
        <w:spacing w:after="0"/>
        <w:jc w:val="both"/>
      </w:pPr>
      <w:r>
        <w:t xml:space="preserve">Značajnije povećanje potraživanja za prihode od imovine evidentirano je kod najama stanova, zakupa poslovnih prostora i za spomeničku rentu. Stanje na dan 31.12.2020. iznosi 525.824.310 kn i u odnosu na prethodnu godinu povećano je za 196% . </w:t>
      </w:r>
    </w:p>
    <w:p w:rsidR="009F6146" w:rsidRDefault="009F6146" w:rsidP="009F6146">
      <w:pPr>
        <w:spacing w:after="0"/>
        <w:rPr>
          <w:b/>
        </w:rPr>
      </w:pPr>
    </w:p>
    <w:p w:rsidR="009F6146" w:rsidRPr="006627CA" w:rsidRDefault="009F6146" w:rsidP="009F6146">
      <w:pPr>
        <w:rPr>
          <w:b/>
        </w:rPr>
      </w:pPr>
      <w:r w:rsidRPr="00E226CE">
        <w:rPr>
          <w:b/>
        </w:rPr>
        <w:t>Bilješka br. 1</w:t>
      </w:r>
      <w:r>
        <w:rPr>
          <w:b/>
        </w:rPr>
        <w:t>4</w:t>
      </w:r>
      <w:r w:rsidRPr="00E226CE">
        <w:t xml:space="preserve"> – </w:t>
      </w:r>
      <w:r w:rsidRPr="00E226CE">
        <w:rPr>
          <w:b/>
        </w:rPr>
        <w:t>AOP 153 Potraživanja za upravne i administrativne pristojbe, pristojbe po posebnim propisima i naknade</w:t>
      </w:r>
    </w:p>
    <w:p w:rsidR="009F6146" w:rsidRPr="00D95E2B" w:rsidRDefault="009F6146" w:rsidP="009F6146">
      <w:r>
        <w:t>P</w:t>
      </w:r>
      <w:r w:rsidRPr="00D95E2B">
        <w:t>otraživanja za upravne i administrativne pristojbe, pristojbe po posebnim propisima i naknade</w:t>
      </w:r>
      <w:r>
        <w:t xml:space="preserve"> odnose se na:</w:t>
      </w:r>
    </w:p>
    <w:tbl>
      <w:tblPr>
        <w:tblW w:w="9209" w:type="dxa"/>
        <w:jc w:val="center"/>
        <w:tblLook w:val="04A0" w:firstRow="1" w:lastRow="0" w:firstColumn="1" w:lastColumn="0" w:noHBand="0" w:noVBand="1"/>
      </w:tblPr>
      <w:tblGrid>
        <w:gridCol w:w="4248"/>
        <w:gridCol w:w="1701"/>
        <w:gridCol w:w="1701"/>
        <w:gridCol w:w="1559"/>
      </w:tblGrid>
      <w:tr w:rsidR="009F6146" w:rsidRPr="00636BBA" w:rsidTr="009F6146">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9F6146" w:rsidRPr="00636BBA" w:rsidRDefault="009F6146" w:rsidP="009F6146">
            <w:pPr>
              <w:spacing w:after="0" w:line="240" w:lineRule="auto"/>
              <w:jc w:val="center"/>
              <w:rPr>
                <w:rFonts w:ascii="Calibri" w:eastAsia="Times New Roman" w:hAnsi="Calibri" w:cs="Calibri"/>
                <w:lang w:eastAsia="hr-HR"/>
              </w:rPr>
            </w:pPr>
            <w:r w:rsidRPr="00636BBA">
              <w:rPr>
                <w:rFonts w:ascii="Calibri" w:eastAsia="Times New Roman" w:hAnsi="Calibri" w:cs="Calibri"/>
                <w:lang w:eastAsia="hr-HR"/>
              </w:rPr>
              <w:lastRenderedPageBreak/>
              <w:t>NAZIV</w:t>
            </w:r>
          </w:p>
        </w:tc>
        <w:tc>
          <w:tcPr>
            <w:tcW w:w="1701" w:type="dxa"/>
            <w:tcBorders>
              <w:top w:val="single" w:sz="4" w:space="0" w:color="auto"/>
              <w:left w:val="nil"/>
              <w:bottom w:val="single" w:sz="4" w:space="0" w:color="auto"/>
              <w:right w:val="single" w:sz="4" w:space="0" w:color="auto"/>
            </w:tcBorders>
            <w:shd w:val="clear" w:color="000000" w:fill="DEEAF6"/>
            <w:vAlign w:val="center"/>
            <w:hideMark/>
          </w:tcPr>
          <w:p w:rsidR="009F6146" w:rsidRPr="00636BBA" w:rsidRDefault="009F6146" w:rsidP="009F6146">
            <w:pPr>
              <w:spacing w:after="0" w:line="240" w:lineRule="auto"/>
              <w:jc w:val="center"/>
              <w:rPr>
                <w:rFonts w:ascii="Calibri" w:eastAsia="Times New Roman" w:hAnsi="Calibri" w:cs="Calibri"/>
                <w:lang w:eastAsia="hr-HR"/>
              </w:rPr>
            </w:pPr>
            <w:r w:rsidRPr="00636BBA">
              <w:rPr>
                <w:rFonts w:ascii="Calibri" w:eastAsia="Times New Roman" w:hAnsi="Calibri" w:cs="Calibri"/>
                <w:lang w:eastAsia="hr-HR"/>
              </w:rPr>
              <w:t>Stanje 01.01.</w:t>
            </w:r>
            <w:r>
              <w:rPr>
                <w:rFonts w:ascii="Calibri" w:eastAsia="Times New Roman" w:hAnsi="Calibri" w:cs="Calibri"/>
                <w:lang w:eastAsia="hr-HR"/>
              </w:rPr>
              <w:t>20</w:t>
            </w:r>
            <w:r w:rsidRPr="00636BBA">
              <w:rPr>
                <w:rFonts w:ascii="Calibri" w:eastAsia="Times New Roman" w:hAnsi="Calibri" w:cs="Calibri"/>
                <w:lang w:eastAsia="hr-HR"/>
              </w:rPr>
              <w:t>.</w:t>
            </w:r>
          </w:p>
        </w:tc>
        <w:tc>
          <w:tcPr>
            <w:tcW w:w="1701" w:type="dxa"/>
            <w:tcBorders>
              <w:top w:val="single" w:sz="4" w:space="0" w:color="auto"/>
              <w:left w:val="nil"/>
              <w:bottom w:val="single" w:sz="4" w:space="0" w:color="auto"/>
              <w:right w:val="single" w:sz="4" w:space="0" w:color="auto"/>
            </w:tcBorders>
            <w:shd w:val="clear" w:color="000000" w:fill="DEEAF6"/>
            <w:vAlign w:val="center"/>
            <w:hideMark/>
          </w:tcPr>
          <w:p w:rsidR="009F6146" w:rsidRPr="00636BBA" w:rsidRDefault="009F6146" w:rsidP="009F6146">
            <w:pPr>
              <w:spacing w:after="0" w:line="240" w:lineRule="auto"/>
              <w:jc w:val="center"/>
              <w:rPr>
                <w:rFonts w:ascii="Calibri" w:eastAsia="Times New Roman" w:hAnsi="Calibri" w:cs="Calibri"/>
                <w:lang w:eastAsia="hr-HR"/>
              </w:rPr>
            </w:pPr>
            <w:r w:rsidRPr="00636BBA">
              <w:rPr>
                <w:rFonts w:ascii="Calibri" w:eastAsia="Times New Roman" w:hAnsi="Calibri" w:cs="Calibri"/>
                <w:lang w:eastAsia="hr-HR"/>
              </w:rPr>
              <w:t>Stanje 31.12.</w:t>
            </w:r>
            <w:r>
              <w:rPr>
                <w:rFonts w:ascii="Calibri" w:eastAsia="Times New Roman" w:hAnsi="Calibri" w:cs="Calibri"/>
                <w:lang w:eastAsia="hr-HR"/>
              </w:rPr>
              <w:t>20</w:t>
            </w:r>
            <w:r w:rsidRPr="00636BBA">
              <w:rPr>
                <w:rFonts w:ascii="Calibri" w:eastAsia="Times New Roman" w:hAnsi="Calibri" w:cs="Calibri"/>
                <w:lang w:eastAsia="hr-HR"/>
              </w:rPr>
              <w:t>.</w:t>
            </w:r>
          </w:p>
        </w:tc>
        <w:tc>
          <w:tcPr>
            <w:tcW w:w="1559" w:type="dxa"/>
            <w:tcBorders>
              <w:top w:val="single" w:sz="4" w:space="0" w:color="auto"/>
              <w:left w:val="nil"/>
              <w:bottom w:val="single" w:sz="4" w:space="0" w:color="auto"/>
              <w:right w:val="single" w:sz="4" w:space="0" w:color="auto"/>
            </w:tcBorders>
            <w:shd w:val="clear" w:color="000000" w:fill="DEEAF6"/>
            <w:vAlign w:val="center"/>
            <w:hideMark/>
          </w:tcPr>
          <w:p w:rsidR="009F6146" w:rsidRPr="00636BBA" w:rsidRDefault="009F6146" w:rsidP="009F6146">
            <w:pPr>
              <w:spacing w:after="0" w:line="240" w:lineRule="auto"/>
              <w:jc w:val="center"/>
              <w:rPr>
                <w:rFonts w:ascii="Calibri" w:eastAsia="Times New Roman" w:hAnsi="Calibri" w:cs="Calibri"/>
                <w:lang w:eastAsia="hr-HR"/>
              </w:rPr>
            </w:pPr>
            <w:r w:rsidRPr="00636BBA">
              <w:rPr>
                <w:rFonts w:ascii="Calibri" w:eastAsia="Times New Roman" w:hAnsi="Calibri" w:cs="Calibri"/>
                <w:lang w:eastAsia="hr-HR"/>
              </w:rPr>
              <w:t>Povećanje/ Smanjenje</w:t>
            </w:r>
          </w:p>
        </w:tc>
      </w:tr>
      <w:tr w:rsidR="009F6146" w:rsidRPr="00636BBA" w:rsidTr="009F6146">
        <w:trPr>
          <w:trHeight w:val="255"/>
          <w:jc w:val="center"/>
        </w:trPr>
        <w:tc>
          <w:tcPr>
            <w:tcW w:w="4248" w:type="dxa"/>
            <w:tcBorders>
              <w:top w:val="nil"/>
              <w:left w:val="single" w:sz="4" w:space="0" w:color="auto"/>
              <w:bottom w:val="single" w:sz="4" w:space="0" w:color="auto"/>
              <w:right w:val="single" w:sz="4" w:space="0" w:color="auto"/>
            </w:tcBorders>
            <w:shd w:val="clear" w:color="000000" w:fill="DEEAF6"/>
            <w:vAlign w:val="center"/>
            <w:hideMark/>
          </w:tcPr>
          <w:p w:rsidR="009F6146" w:rsidRPr="00636BBA" w:rsidRDefault="009F6146" w:rsidP="009F6146">
            <w:pPr>
              <w:spacing w:after="0" w:line="240" w:lineRule="auto"/>
              <w:jc w:val="center"/>
              <w:rPr>
                <w:rFonts w:ascii="Calibri" w:eastAsia="Times New Roman" w:hAnsi="Calibri" w:cs="Calibri"/>
                <w:sz w:val="16"/>
                <w:szCs w:val="16"/>
                <w:lang w:eastAsia="hr-HR"/>
              </w:rPr>
            </w:pPr>
            <w:r w:rsidRPr="00636BBA">
              <w:rPr>
                <w:rFonts w:ascii="Calibri" w:eastAsia="Times New Roman" w:hAnsi="Calibri" w:cs="Calibri"/>
                <w:sz w:val="16"/>
                <w:szCs w:val="16"/>
                <w:lang w:eastAsia="hr-HR"/>
              </w:rPr>
              <w:t>1</w:t>
            </w:r>
          </w:p>
        </w:tc>
        <w:tc>
          <w:tcPr>
            <w:tcW w:w="1701" w:type="dxa"/>
            <w:tcBorders>
              <w:top w:val="nil"/>
              <w:left w:val="nil"/>
              <w:bottom w:val="single" w:sz="4" w:space="0" w:color="auto"/>
              <w:right w:val="single" w:sz="4" w:space="0" w:color="auto"/>
            </w:tcBorders>
            <w:shd w:val="clear" w:color="000000" w:fill="DEEAF6"/>
            <w:vAlign w:val="center"/>
            <w:hideMark/>
          </w:tcPr>
          <w:p w:rsidR="009F6146" w:rsidRPr="00636BBA" w:rsidRDefault="009F6146" w:rsidP="009F6146">
            <w:pPr>
              <w:spacing w:after="0" w:line="240" w:lineRule="auto"/>
              <w:jc w:val="center"/>
              <w:rPr>
                <w:rFonts w:ascii="Calibri" w:eastAsia="Times New Roman" w:hAnsi="Calibri" w:cs="Calibri"/>
                <w:sz w:val="16"/>
                <w:szCs w:val="16"/>
                <w:lang w:eastAsia="hr-HR"/>
              </w:rPr>
            </w:pPr>
            <w:r w:rsidRPr="00636BBA">
              <w:rPr>
                <w:rFonts w:ascii="Calibri" w:eastAsia="Times New Roman" w:hAnsi="Calibri" w:cs="Calibri"/>
                <w:sz w:val="16"/>
                <w:szCs w:val="16"/>
                <w:lang w:eastAsia="hr-HR"/>
              </w:rPr>
              <w:t>2</w:t>
            </w:r>
          </w:p>
        </w:tc>
        <w:tc>
          <w:tcPr>
            <w:tcW w:w="1701" w:type="dxa"/>
            <w:tcBorders>
              <w:top w:val="nil"/>
              <w:left w:val="nil"/>
              <w:bottom w:val="single" w:sz="4" w:space="0" w:color="auto"/>
              <w:right w:val="single" w:sz="4" w:space="0" w:color="auto"/>
            </w:tcBorders>
            <w:shd w:val="clear" w:color="000000" w:fill="DEEAF6"/>
            <w:vAlign w:val="center"/>
            <w:hideMark/>
          </w:tcPr>
          <w:p w:rsidR="009F6146" w:rsidRPr="00636BBA" w:rsidRDefault="009F6146" w:rsidP="009F6146">
            <w:pPr>
              <w:spacing w:after="0" w:line="240" w:lineRule="auto"/>
              <w:jc w:val="center"/>
              <w:rPr>
                <w:rFonts w:ascii="Calibri" w:eastAsia="Times New Roman" w:hAnsi="Calibri" w:cs="Calibri"/>
                <w:sz w:val="16"/>
                <w:szCs w:val="16"/>
                <w:lang w:eastAsia="hr-HR"/>
              </w:rPr>
            </w:pPr>
            <w:r w:rsidRPr="00636BBA">
              <w:rPr>
                <w:rFonts w:ascii="Calibri" w:eastAsia="Times New Roman" w:hAnsi="Calibri" w:cs="Calibri"/>
                <w:sz w:val="16"/>
                <w:szCs w:val="16"/>
                <w:lang w:eastAsia="hr-HR"/>
              </w:rPr>
              <w:t>3</w:t>
            </w:r>
          </w:p>
        </w:tc>
        <w:tc>
          <w:tcPr>
            <w:tcW w:w="1559" w:type="dxa"/>
            <w:tcBorders>
              <w:top w:val="nil"/>
              <w:left w:val="nil"/>
              <w:bottom w:val="single" w:sz="4" w:space="0" w:color="auto"/>
              <w:right w:val="single" w:sz="4" w:space="0" w:color="auto"/>
            </w:tcBorders>
            <w:shd w:val="clear" w:color="000000" w:fill="DEEAF6"/>
            <w:vAlign w:val="center"/>
            <w:hideMark/>
          </w:tcPr>
          <w:p w:rsidR="009F6146" w:rsidRPr="00636BBA" w:rsidRDefault="009F6146" w:rsidP="009F6146">
            <w:pPr>
              <w:spacing w:after="0" w:line="240" w:lineRule="auto"/>
              <w:jc w:val="center"/>
              <w:rPr>
                <w:rFonts w:ascii="Calibri" w:eastAsia="Times New Roman" w:hAnsi="Calibri" w:cs="Calibri"/>
                <w:sz w:val="16"/>
                <w:szCs w:val="16"/>
                <w:lang w:eastAsia="hr-HR"/>
              </w:rPr>
            </w:pPr>
            <w:r w:rsidRPr="00636BBA">
              <w:rPr>
                <w:rFonts w:ascii="Calibri" w:eastAsia="Times New Roman" w:hAnsi="Calibri" w:cs="Calibri"/>
                <w:sz w:val="16"/>
                <w:szCs w:val="16"/>
                <w:lang w:eastAsia="hr-HR"/>
              </w:rPr>
              <w:t>4=3-2</w:t>
            </w:r>
          </w:p>
        </w:tc>
      </w:tr>
      <w:tr w:rsidR="009F6146" w:rsidRPr="00636BBA" w:rsidTr="009F6146">
        <w:trPr>
          <w:trHeight w:val="30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Naknada za odlaganje otpada</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2.428.598</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931.986</w:t>
            </w:r>
          </w:p>
        </w:tc>
        <w:tc>
          <w:tcPr>
            <w:tcW w:w="1559"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-1.496.612</w:t>
            </w:r>
          </w:p>
        </w:tc>
      </w:tr>
      <w:tr w:rsidR="009F6146" w:rsidRPr="00636BBA" w:rsidTr="009F6146">
        <w:trPr>
          <w:trHeight w:val="30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Boravišne pristojbe</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324.683</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0</w:t>
            </w:r>
          </w:p>
        </w:tc>
        <w:tc>
          <w:tcPr>
            <w:tcW w:w="1559"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-324.683</w:t>
            </w:r>
          </w:p>
        </w:tc>
      </w:tr>
      <w:tr w:rsidR="009F6146" w:rsidRPr="00636BBA" w:rsidTr="009F6146">
        <w:trPr>
          <w:trHeight w:val="30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Doprinos za šume</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212.922</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138.009</w:t>
            </w:r>
          </w:p>
        </w:tc>
        <w:tc>
          <w:tcPr>
            <w:tcW w:w="1559"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-74.913</w:t>
            </w:r>
          </w:p>
        </w:tc>
      </w:tr>
      <w:tr w:rsidR="009F6146" w:rsidRPr="00636BBA" w:rsidTr="009F6146">
        <w:trPr>
          <w:trHeight w:val="60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Ostali nespomenuti prihodi – kupci (katastar)</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7.726</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1.458</w:t>
            </w:r>
          </w:p>
        </w:tc>
        <w:tc>
          <w:tcPr>
            <w:tcW w:w="1559"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-6.</w:t>
            </w:r>
            <w:r>
              <w:rPr>
                <w:rFonts w:ascii="Calibri" w:eastAsia="Times New Roman" w:hAnsi="Calibri" w:cs="Calibri"/>
                <w:lang w:eastAsia="hr-HR"/>
              </w:rPr>
              <w:t>268</w:t>
            </w:r>
          </w:p>
        </w:tc>
      </w:tr>
      <w:tr w:rsidR="009F6146" w:rsidRPr="00636BBA" w:rsidTr="009F6146">
        <w:trPr>
          <w:trHeight w:val="60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Sufinanciranje u cijeni programa predškolskog odgoja</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25.841.386</w:t>
            </w:r>
          </w:p>
        </w:tc>
        <w:tc>
          <w:tcPr>
            <w:tcW w:w="1701" w:type="dxa"/>
            <w:tcBorders>
              <w:top w:val="nil"/>
              <w:left w:val="nil"/>
              <w:bottom w:val="single" w:sz="4" w:space="0" w:color="auto"/>
              <w:right w:val="single" w:sz="4" w:space="0" w:color="auto"/>
            </w:tcBorders>
            <w:shd w:val="clear" w:color="000000" w:fill="FFFFFF"/>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24.921.093</w:t>
            </w:r>
          </w:p>
        </w:tc>
        <w:tc>
          <w:tcPr>
            <w:tcW w:w="1559"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--920.293</w:t>
            </w:r>
          </w:p>
        </w:tc>
      </w:tr>
      <w:tr w:rsidR="009F6146" w:rsidRPr="00636BBA" w:rsidTr="009F6146">
        <w:trPr>
          <w:trHeight w:val="400"/>
          <w:jc w:val="center"/>
        </w:trPr>
        <w:tc>
          <w:tcPr>
            <w:tcW w:w="4248" w:type="dxa"/>
            <w:tcBorders>
              <w:top w:val="nil"/>
              <w:left w:val="single" w:sz="4" w:space="0" w:color="auto"/>
              <w:bottom w:val="single" w:sz="4" w:space="0" w:color="auto"/>
              <w:right w:val="single" w:sz="4" w:space="0" w:color="auto"/>
            </w:tcBorders>
            <w:shd w:val="clear" w:color="auto" w:fill="auto"/>
            <w:vAlign w:val="center"/>
          </w:tcPr>
          <w:p w:rsidR="009F6146" w:rsidRPr="00636BBA" w:rsidRDefault="009F6146" w:rsidP="009F6146">
            <w:pPr>
              <w:spacing w:after="0" w:line="240" w:lineRule="auto"/>
              <w:rPr>
                <w:rFonts w:ascii="Calibri" w:eastAsia="Times New Roman" w:hAnsi="Calibri" w:cs="Calibri"/>
                <w:lang w:eastAsia="hr-HR"/>
              </w:rPr>
            </w:pPr>
            <w:r>
              <w:rPr>
                <w:rFonts w:ascii="Calibri" w:eastAsia="Times New Roman" w:hAnsi="Calibri" w:cs="Calibri"/>
                <w:lang w:eastAsia="hr-HR"/>
              </w:rPr>
              <w:t>Izdana jamstva</w:t>
            </w:r>
          </w:p>
        </w:tc>
        <w:tc>
          <w:tcPr>
            <w:tcW w:w="1701" w:type="dxa"/>
            <w:tcBorders>
              <w:top w:val="nil"/>
              <w:left w:val="nil"/>
              <w:bottom w:val="single" w:sz="4" w:space="0" w:color="auto"/>
              <w:right w:val="single" w:sz="4" w:space="0" w:color="auto"/>
            </w:tcBorders>
            <w:shd w:val="clear" w:color="000000" w:fill="FFFFFF"/>
            <w:vAlign w:val="center"/>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0</w:t>
            </w:r>
          </w:p>
        </w:tc>
        <w:tc>
          <w:tcPr>
            <w:tcW w:w="1701" w:type="dxa"/>
            <w:tcBorders>
              <w:top w:val="nil"/>
              <w:left w:val="nil"/>
              <w:bottom w:val="single" w:sz="4" w:space="0" w:color="auto"/>
              <w:right w:val="single" w:sz="4" w:space="0" w:color="auto"/>
            </w:tcBorders>
            <w:shd w:val="clear" w:color="000000" w:fill="FFFFFF"/>
            <w:vAlign w:val="center"/>
          </w:tcPr>
          <w:p w:rsidR="009F6146"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7.935.000</w:t>
            </w:r>
          </w:p>
        </w:tc>
        <w:tc>
          <w:tcPr>
            <w:tcW w:w="1559" w:type="dxa"/>
            <w:tcBorders>
              <w:top w:val="nil"/>
              <w:left w:val="nil"/>
              <w:bottom w:val="single" w:sz="4" w:space="0" w:color="auto"/>
              <w:right w:val="single" w:sz="4" w:space="0" w:color="auto"/>
            </w:tcBorders>
            <w:shd w:val="clear" w:color="auto" w:fill="auto"/>
            <w:vAlign w:val="center"/>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7.935.000</w:t>
            </w:r>
          </w:p>
        </w:tc>
      </w:tr>
      <w:tr w:rsidR="009F6146" w:rsidRPr="00636BBA" w:rsidTr="009F6146">
        <w:trPr>
          <w:trHeight w:val="30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Komunalni doprinos</w:t>
            </w:r>
          </w:p>
        </w:tc>
        <w:tc>
          <w:tcPr>
            <w:tcW w:w="1701"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343.373.311</w:t>
            </w:r>
          </w:p>
        </w:tc>
        <w:tc>
          <w:tcPr>
            <w:tcW w:w="1701"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368.406.422</w:t>
            </w:r>
          </w:p>
        </w:tc>
        <w:tc>
          <w:tcPr>
            <w:tcW w:w="1559"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25.033.111</w:t>
            </w:r>
          </w:p>
        </w:tc>
      </w:tr>
      <w:tr w:rsidR="009F6146" w:rsidRPr="00636BBA" w:rsidTr="009F6146">
        <w:trPr>
          <w:trHeight w:val="30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Komunalna naknada</w:t>
            </w:r>
          </w:p>
        </w:tc>
        <w:tc>
          <w:tcPr>
            <w:tcW w:w="1701"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217.367.393</w:t>
            </w:r>
          </w:p>
        </w:tc>
        <w:tc>
          <w:tcPr>
            <w:tcW w:w="1701"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966.019.261</w:t>
            </w:r>
          </w:p>
        </w:tc>
        <w:tc>
          <w:tcPr>
            <w:tcW w:w="1559"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748.651.868</w:t>
            </w:r>
          </w:p>
        </w:tc>
      </w:tr>
      <w:tr w:rsidR="009F6146" w:rsidRPr="00636BBA" w:rsidTr="009F6146">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Naknade za priključak na kom. Infrastrukturu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1.730.255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1.730.</w:t>
            </w:r>
            <w:r>
              <w:rPr>
                <w:rFonts w:ascii="Calibri" w:eastAsia="Times New Roman" w:hAnsi="Calibri" w:cs="Calibri"/>
                <w:lang w:eastAsia="hr-HR"/>
              </w:rPr>
              <w:t>049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-206</w:t>
            </w:r>
          </w:p>
        </w:tc>
      </w:tr>
      <w:tr w:rsidR="009F6146" w:rsidRPr="00636BBA" w:rsidTr="009F6146">
        <w:trPr>
          <w:trHeight w:val="30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rPr>
                <w:rFonts w:ascii="Calibri" w:eastAsia="Times New Roman" w:hAnsi="Calibri" w:cs="Calibri"/>
                <w:lang w:eastAsia="hr-HR"/>
              </w:rPr>
            </w:pPr>
            <w:r w:rsidRPr="00636BBA">
              <w:rPr>
                <w:rFonts w:ascii="Calibri" w:eastAsia="Times New Roman" w:hAnsi="Calibri" w:cs="Calibri"/>
                <w:lang w:eastAsia="hr-HR"/>
              </w:rPr>
              <w:t>UKUPNO</w:t>
            </w:r>
          </w:p>
        </w:tc>
        <w:tc>
          <w:tcPr>
            <w:tcW w:w="1701"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sidRPr="00636BBA">
              <w:rPr>
                <w:rFonts w:ascii="Calibri" w:eastAsia="Times New Roman" w:hAnsi="Calibri" w:cs="Calibri"/>
                <w:lang w:eastAsia="hr-HR"/>
              </w:rPr>
              <w:t>591.286.274</w:t>
            </w:r>
          </w:p>
        </w:tc>
        <w:tc>
          <w:tcPr>
            <w:tcW w:w="1701"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1.370.083.278</w:t>
            </w:r>
          </w:p>
        </w:tc>
        <w:tc>
          <w:tcPr>
            <w:tcW w:w="1559" w:type="dxa"/>
            <w:tcBorders>
              <w:top w:val="nil"/>
              <w:left w:val="nil"/>
              <w:bottom w:val="single" w:sz="4" w:space="0" w:color="auto"/>
              <w:right w:val="single" w:sz="4" w:space="0" w:color="auto"/>
            </w:tcBorders>
            <w:shd w:val="clear" w:color="auto" w:fill="auto"/>
            <w:vAlign w:val="center"/>
            <w:hideMark/>
          </w:tcPr>
          <w:p w:rsidR="009F6146" w:rsidRPr="00636BBA"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778.797.004</w:t>
            </w:r>
          </w:p>
        </w:tc>
      </w:tr>
    </w:tbl>
    <w:p w:rsidR="004120DD" w:rsidRDefault="004120DD" w:rsidP="009F6146">
      <w:pPr>
        <w:rPr>
          <w:b/>
        </w:rPr>
      </w:pPr>
    </w:p>
    <w:p w:rsidR="009F6146" w:rsidRDefault="009F6146" w:rsidP="009F6146">
      <w:r w:rsidRPr="00C80381">
        <w:rPr>
          <w:b/>
        </w:rPr>
        <w:t>Bilješka br. 1</w:t>
      </w:r>
      <w:r>
        <w:rPr>
          <w:b/>
        </w:rPr>
        <w:t>5</w:t>
      </w:r>
      <w:r w:rsidRPr="00C80381">
        <w:t xml:space="preserve"> </w:t>
      </w:r>
      <w:r w:rsidRPr="00C80381">
        <w:rPr>
          <w:b/>
        </w:rPr>
        <w:t>– AOP 157 Ispravak vrijednosti potraživanja</w:t>
      </w:r>
    </w:p>
    <w:p w:rsidR="00A234C4" w:rsidRPr="004120DD" w:rsidRDefault="009F6146" w:rsidP="004120DD">
      <w:pPr>
        <w:spacing w:after="0" w:line="240" w:lineRule="auto"/>
        <w:jc w:val="both"/>
        <w:rPr>
          <w:rFonts w:eastAsia="Times New Roman" w:cstheme="minorHAnsi"/>
          <w:lang w:eastAsia="hr-HR"/>
        </w:rPr>
      </w:pPr>
      <w:r>
        <w:rPr>
          <w:rFonts w:eastAsia="Times New Roman" w:cstheme="minorHAnsi"/>
          <w:lang w:eastAsia="hr-HR"/>
        </w:rPr>
        <w:t>S</w:t>
      </w:r>
      <w:r w:rsidRPr="008B5300">
        <w:rPr>
          <w:rFonts w:eastAsia="Times New Roman" w:cstheme="minorHAnsi"/>
          <w:lang w:eastAsia="hr-HR"/>
        </w:rPr>
        <w:t xml:space="preserve">ukladno </w:t>
      </w:r>
      <w:r>
        <w:rPr>
          <w:rFonts w:eastAsia="Times New Roman" w:cstheme="minorHAnsi"/>
          <w:lang w:eastAsia="hr-HR"/>
        </w:rPr>
        <w:t>članku 37.a Pravilnika</w:t>
      </w:r>
      <w:r w:rsidRPr="008B5300">
        <w:rPr>
          <w:rFonts w:eastAsia="Times New Roman" w:cstheme="minorHAnsi"/>
          <w:lang w:eastAsia="hr-HR"/>
        </w:rPr>
        <w:t xml:space="preserve"> o proračunskom računovodstvu i računskom planu</w:t>
      </w:r>
      <w:r>
        <w:rPr>
          <w:rFonts w:eastAsia="Times New Roman" w:cstheme="minorHAnsi"/>
          <w:lang w:eastAsia="hr-HR"/>
        </w:rPr>
        <w:t xml:space="preserve"> proveden je ispravak vrijednosti potraživanja tijekom godine i na kraju godine iznosi  1.779.663.539 kn</w:t>
      </w:r>
      <w:r w:rsidRPr="008B5300">
        <w:rPr>
          <w:rFonts w:eastAsia="Times New Roman" w:cstheme="minorHAnsi"/>
          <w:lang w:eastAsia="hr-HR"/>
        </w:rPr>
        <w:t xml:space="preserve">. </w:t>
      </w:r>
      <w:r>
        <w:rPr>
          <w:rFonts w:eastAsia="Times New Roman" w:cstheme="minorHAnsi"/>
          <w:lang w:eastAsia="hr-HR"/>
        </w:rPr>
        <w:t>U odnosu na prethodnu godinu ispravak vrijednosti je uvećan za 1.110.591.302 kuna. Ispravak vrijednosti proveo se za sva potraživanja koja zadovoljavaju kriterijima iz navedenog Pravilnika te ne predstavlja promjenu u vrijednosti imovine.  Najvećim dijelom povećanje ispravka vrijednosti potraživanja odnosi se na prihode od nefinancijske imovine (zakupi, najamnine, spomenička renta i sl.) te komunalni</w:t>
      </w:r>
      <w:r w:rsidR="004120DD">
        <w:rPr>
          <w:rFonts w:eastAsia="Times New Roman" w:cstheme="minorHAnsi"/>
          <w:lang w:eastAsia="hr-HR"/>
        </w:rPr>
        <w:t xml:space="preserve"> doprinos i komunalna naknada. </w:t>
      </w:r>
    </w:p>
    <w:p w:rsidR="004120DD" w:rsidRDefault="004120DD" w:rsidP="009F6146">
      <w:pPr>
        <w:rPr>
          <w:b/>
        </w:rPr>
      </w:pPr>
    </w:p>
    <w:p w:rsidR="009F6146" w:rsidRDefault="009F6146" w:rsidP="009F6146">
      <w:r w:rsidRPr="00C80381">
        <w:rPr>
          <w:b/>
        </w:rPr>
        <w:t xml:space="preserve">Bilješka br. </w:t>
      </w:r>
      <w:r>
        <w:rPr>
          <w:b/>
        </w:rPr>
        <w:t>16</w:t>
      </w:r>
      <w:r w:rsidRPr="00C80381">
        <w:t xml:space="preserve"> – </w:t>
      </w:r>
      <w:r w:rsidRPr="006F0735">
        <w:rPr>
          <w:b/>
        </w:rPr>
        <w:t>AOP 158 Potraživanja od prodaje nefinancijske imovine</w:t>
      </w:r>
    </w:p>
    <w:p w:rsidR="009F6146" w:rsidRPr="00D50769" w:rsidRDefault="009F6146" w:rsidP="009F6146">
      <w:pPr>
        <w:jc w:val="both"/>
      </w:pPr>
      <w:r>
        <w:t>U 2020. godini iskazano je 192.376.189 kuna potraživanja od prodaje nefinancijske imovine što je za 13,5% manje u odnosu na prethodnu godinu, odnosno potraživanja od prodaje nefinancijske imovine iznose 72.190.215 kn nakon provedenog ispravka vrijednosti. Pojačana je naplata potraživanja od prodaje proizvedene dugotrajne imovine – stanova.</w:t>
      </w:r>
    </w:p>
    <w:p w:rsidR="004120DD" w:rsidRDefault="004120DD" w:rsidP="009F6146">
      <w:pPr>
        <w:rPr>
          <w:b/>
        </w:rPr>
      </w:pPr>
    </w:p>
    <w:p w:rsidR="009F6146" w:rsidRDefault="009F6146" w:rsidP="009F6146">
      <w:r w:rsidRPr="003D0188">
        <w:rPr>
          <w:b/>
        </w:rPr>
        <w:t>Bilješka br. 17</w:t>
      </w:r>
      <w:r w:rsidRPr="003D0188">
        <w:t xml:space="preserve"> – </w:t>
      </w:r>
      <w:r w:rsidRPr="003D0188">
        <w:rPr>
          <w:b/>
        </w:rPr>
        <w:t>AOP 169 Obveze</w:t>
      </w:r>
    </w:p>
    <w:tbl>
      <w:tblPr>
        <w:tblStyle w:val="TableGrid"/>
        <w:tblW w:w="0" w:type="auto"/>
        <w:tblLook w:val="04A0" w:firstRow="1" w:lastRow="0" w:firstColumn="1" w:lastColumn="0" w:noHBand="0" w:noVBand="1"/>
      </w:tblPr>
      <w:tblGrid>
        <w:gridCol w:w="864"/>
        <w:gridCol w:w="1906"/>
        <w:gridCol w:w="603"/>
        <w:gridCol w:w="1640"/>
        <w:gridCol w:w="1669"/>
        <w:gridCol w:w="973"/>
        <w:gridCol w:w="1407"/>
      </w:tblGrid>
      <w:tr w:rsidR="009F6146" w:rsidRPr="00774066" w:rsidTr="009F6146">
        <w:trPr>
          <w:trHeight w:val="600"/>
        </w:trPr>
        <w:tc>
          <w:tcPr>
            <w:tcW w:w="864"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RAČUN</w:t>
            </w:r>
          </w:p>
        </w:tc>
        <w:tc>
          <w:tcPr>
            <w:tcW w:w="2132" w:type="dxa"/>
            <w:shd w:val="clear" w:color="auto" w:fill="DEEAF6" w:themeFill="accent1" w:themeFillTint="33"/>
            <w:vAlign w:val="center"/>
            <w:hideMark/>
          </w:tcPr>
          <w:p w:rsidR="009F6146" w:rsidRPr="00774066" w:rsidRDefault="009F6146" w:rsidP="009F6146">
            <w:pPr>
              <w:jc w:val="center"/>
            </w:pPr>
            <w:r w:rsidRPr="00774066">
              <w:t>OPIS</w:t>
            </w:r>
          </w:p>
        </w:tc>
        <w:tc>
          <w:tcPr>
            <w:tcW w:w="603" w:type="dxa"/>
            <w:shd w:val="clear" w:color="auto" w:fill="DEEAF6" w:themeFill="accent1" w:themeFillTint="33"/>
            <w:noWrap/>
            <w:vAlign w:val="center"/>
            <w:hideMark/>
          </w:tcPr>
          <w:p w:rsidR="009F6146" w:rsidRPr="00184923" w:rsidRDefault="009F6146" w:rsidP="009F6146">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9F6146" w:rsidRPr="00774066" w:rsidRDefault="009F6146" w:rsidP="009F6146">
            <w:pPr>
              <w:jc w:val="center"/>
            </w:pPr>
            <w:r w:rsidRPr="00774066">
              <w:t>Stanje 01.01.</w:t>
            </w:r>
            <w:r>
              <w:t>20</w:t>
            </w:r>
            <w:r w:rsidRPr="00774066">
              <w:t>.</w:t>
            </w:r>
          </w:p>
        </w:tc>
        <w:tc>
          <w:tcPr>
            <w:tcW w:w="1669" w:type="dxa"/>
            <w:shd w:val="clear" w:color="auto" w:fill="DEEAF6" w:themeFill="accent1" w:themeFillTint="33"/>
            <w:noWrap/>
            <w:vAlign w:val="center"/>
            <w:hideMark/>
          </w:tcPr>
          <w:p w:rsidR="009F6146" w:rsidRPr="00774066" w:rsidRDefault="009F6146" w:rsidP="009F6146">
            <w:pPr>
              <w:jc w:val="center"/>
            </w:pPr>
            <w:r w:rsidRPr="00774066">
              <w:t>Stanje 31.12.</w:t>
            </w:r>
            <w:r>
              <w:t>20</w:t>
            </w:r>
            <w:r w:rsidRPr="00774066">
              <w:t>.</w:t>
            </w:r>
          </w:p>
        </w:tc>
        <w:tc>
          <w:tcPr>
            <w:tcW w:w="973" w:type="dxa"/>
            <w:shd w:val="clear" w:color="auto" w:fill="DEEAF6" w:themeFill="accent1" w:themeFillTint="33"/>
            <w:vAlign w:val="center"/>
            <w:hideMark/>
          </w:tcPr>
          <w:p w:rsidR="009F6146" w:rsidRPr="00184923" w:rsidRDefault="009F6146" w:rsidP="009F6146">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9F6146" w:rsidRPr="00774066" w:rsidRDefault="009F6146" w:rsidP="009F6146">
            <w:pPr>
              <w:jc w:val="center"/>
            </w:pPr>
            <w:r>
              <w:t>Povećanje</w:t>
            </w:r>
          </w:p>
        </w:tc>
      </w:tr>
      <w:tr w:rsidR="009F6146" w:rsidRPr="00774066" w:rsidTr="009F6146">
        <w:trPr>
          <w:trHeight w:val="195"/>
        </w:trPr>
        <w:tc>
          <w:tcPr>
            <w:tcW w:w="864" w:type="dxa"/>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1</w:t>
            </w:r>
          </w:p>
        </w:tc>
        <w:tc>
          <w:tcPr>
            <w:tcW w:w="2132" w:type="dxa"/>
            <w:tcBorders>
              <w:bottom w:val="single" w:sz="4" w:space="0" w:color="auto"/>
            </w:tcBorders>
            <w:shd w:val="clear" w:color="auto" w:fill="DEEAF6" w:themeFill="accent1" w:themeFillTint="33"/>
            <w:hideMark/>
          </w:tcPr>
          <w:p w:rsidR="009F6146" w:rsidRPr="00774066" w:rsidRDefault="009F6146" w:rsidP="009F6146">
            <w:pPr>
              <w:jc w:val="center"/>
              <w:rPr>
                <w:sz w:val="16"/>
                <w:szCs w:val="16"/>
              </w:rPr>
            </w:pPr>
            <w:r w:rsidRPr="00774066">
              <w:rPr>
                <w:sz w:val="16"/>
                <w:szCs w:val="16"/>
              </w:rPr>
              <w:t>2</w:t>
            </w:r>
          </w:p>
        </w:tc>
        <w:tc>
          <w:tcPr>
            <w:tcW w:w="603" w:type="dxa"/>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3</w:t>
            </w:r>
          </w:p>
        </w:tc>
        <w:tc>
          <w:tcPr>
            <w:tcW w:w="1640" w:type="dxa"/>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4</w:t>
            </w:r>
          </w:p>
        </w:tc>
        <w:tc>
          <w:tcPr>
            <w:tcW w:w="1669" w:type="dxa"/>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5</w:t>
            </w:r>
          </w:p>
        </w:tc>
        <w:tc>
          <w:tcPr>
            <w:tcW w:w="973" w:type="dxa"/>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6</w:t>
            </w:r>
          </w:p>
        </w:tc>
        <w:tc>
          <w:tcPr>
            <w:tcW w:w="1407" w:type="dxa"/>
            <w:tcBorders>
              <w:bottom w:val="single" w:sz="4" w:space="0" w:color="auto"/>
            </w:tcBorders>
            <w:shd w:val="clear" w:color="auto" w:fill="DEEAF6" w:themeFill="accent1" w:themeFillTint="33"/>
            <w:noWrap/>
            <w:hideMark/>
          </w:tcPr>
          <w:p w:rsidR="009F6146" w:rsidRPr="00774066" w:rsidRDefault="009F6146" w:rsidP="009F6146">
            <w:pPr>
              <w:jc w:val="center"/>
              <w:rPr>
                <w:sz w:val="16"/>
                <w:szCs w:val="16"/>
              </w:rPr>
            </w:pPr>
            <w:r w:rsidRPr="00774066">
              <w:rPr>
                <w:sz w:val="16"/>
                <w:szCs w:val="16"/>
              </w:rPr>
              <w:t>7</w:t>
            </w:r>
          </w:p>
        </w:tc>
      </w:tr>
      <w:tr w:rsidR="009F6146" w:rsidRPr="001E5F32" w:rsidTr="009F6146">
        <w:trPr>
          <w:trHeight w:val="415"/>
        </w:trPr>
        <w:tc>
          <w:tcPr>
            <w:tcW w:w="864" w:type="dxa"/>
            <w:shd w:val="clear" w:color="auto" w:fill="FFFFFF" w:themeFill="background1"/>
            <w:noWrap/>
            <w:vAlign w:val="center"/>
          </w:tcPr>
          <w:p w:rsidR="009F6146" w:rsidRPr="001E5F32" w:rsidRDefault="009F6146" w:rsidP="009F6146">
            <w:pPr>
              <w:jc w:val="right"/>
            </w:pPr>
            <w:r>
              <w:t>2</w:t>
            </w:r>
          </w:p>
        </w:tc>
        <w:tc>
          <w:tcPr>
            <w:tcW w:w="2132" w:type="dxa"/>
            <w:shd w:val="clear" w:color="auto" w:fill="FFFFFF" w:themeFill="background1"/>
            <w:vAlign w:val="center"/>
          </w:tcPr>
          <w:p w:rsidR="009F6146" w:rsidRPr="001E5F32" w:rsidRDefault="009F6146" w:rsidP="009F6146">
            <w:r>
              <w:t>Obveze</w:t>
            </w:r>
          </w:p>
        </w:tc>
        <w:tc>
          <w:tcPr>
            <w:tcW w:w="603" w:type="dxa"/>
            <w:shd w:val="clear" w:color="auto" w:fill="FFFFFF" w:themeFill="background1"/>
            <w:noWrap/>
            <w:vAlign w:val="center"/>
          </w:tcPr>
          <w:p w:rsidR="009F6146" w:rsidRPr="001E5F32" w:rsidRDefault="009F6146" w:rsidP="009F6146">
            <w:pPr>
              <w:jc w:val="right"/>
            </w:pPr>
            <w:r>
              <w:t>169</w:t>
            </w:r>
          </w:p>
        </w:tc>
        <w:tc>
          <w:tcPr>
            <w:tcW w:w="1640" w:type="dxa"/>
            <w:shd w:val="clear" w:color="auto" w:fill="FFFFFF" w:themeFill="background1"/>
            <w:noWrap/>
            <w:vAlign w:val="center"/>
          </w:tcPr>
          <w:p w:rsidR="009F6146" w:rsidRPr="001E5F32" w:rsidRDefault="009F6146" w:rsidP="009F6146">
            <w:pPr>
              <w:jc w:val="right"/>
            </w:pPr>
            <w:r w:rsidRPr="00C16D08">
              <w:t>3.174.084.554</w:t>
            </w:r>
          </w:p>
        </w:tc>
        <w:tc>
          <w:tcPr>
            <w:tcW w:w="1669" w:type="dxa"/>
            <w:shd w:val="clear" w:color="auto" w:fill="FFFFFF" w:themeFill="background1"/>
            <w:noWrap/>
            <w:vAlign w:val="center"/>
          </w:tcPr>
          <w:p w:rsidR="009F6146" w:rsidRPr="001E5F32" w:rsidRDefault="009F6146" w:rsidP="009F6146">
            <w:pPr>
              <w:jc w:val="right"/>
            </w:pPr>
            <w:r>
              <w:t>3.571.603.074</w:t>
            </w:r>
          </w:p>
        </w:tc>
        <w:tc>
          <w:tcPr>
            <w:tcW w:w="973" w:type="dxa"/>
            <w:shd w:val="clear" w:color="auto" w:fill="FFFFFF" w:themeFill="background1"/>
            <w:noWrap/>
            <w:vAlign w:val="center"/>
          </w:tcPr>
          <w:p w:rsidR="009F6146" w:rsidRPr="001E5F32" w:rsidRDefault="009F6146" w:rsidP="009F6146">
            <w:pPr>
              <w:jc w:val="right"/>
            </w:pPr>
            <w:r>
              <w:t>112,5</w:t>
            </w:r>
          </w:p>
        </w:tc>
        <w:tc>
          <w:tcPr>
            <w:tcW w:w="1407" w:type="dxa"/>
            <w:shd w:val="clear" w:color="auto" w:fill="FFFFFF" w:themeFill="background1"/>
            <w:noWrap/>
            <w:vAlign w:val="center"/>
          </w:tcPr>
          <w:p w:rsidR="009F6146" w:rsidRPr="001E5F32" w:rsidRDefault="009F6146" w:rsidP="009F6146">
            <w:pPr>
              <w:jc w:val="right"/>
            </w:pPr>
            <w:r>
              <w:t>397.518.520</w:t>
            </w:r>
          </w:p>
        </w:tc>
      </w:tr>
    </w:tbl>
    <w:p w:rsidR="009F6146" w:rsidRDefault="009F6146" w:rsidP="009F6146">
      <w:pPr>
        <w:spacing w:after="0"/>
      </w:pPr>
    </w:p>
    <w:p w:rsidR="009F6146" w:rsidRDefault="009F6146" w:rsidP="009F6146">
      <w:pPr>
        <w:jc w:val="both"/>
      </w:pPr>
      <w:r>
        <w:t xml:space="preserve">Obveze su povećane za 397.518.520 kn, odnosno za 12,5 % u odnosu na prethodnu godinu i iznose 3.571.603.074 kn. Obveze za rashode poslovanja i nabavu nefinancijske imovine manje su za 18%, a obveze za tuzemne kredite i zajmove povećane su za 33% u odnosu na prethodnu godinu. </w:t>
      </w:r>
    </w:p>
    <w:p w:rsidR="002C7A08" w:rsidRDefault="002C7A08" w:rsidP="009F6146">
      <w:pPr>
        <w:jc w:val="both"/>
      </w:pPr>
    </w:p>
    <w:p w:rsidR="004F1269" w:rsidRDefault="009F6146" w:rsidP="009F6146">
      <w:pPr>
        <w:jc w:val="both"/>
      </w:pPr>
      <w:r>
        <w:lastRenderedPageBreak/>
        <w:t>Specifikacija ukupnih obveza Grada prema nadležnim gradskim up</w:t>
      </w:r>
      <w:r w:rsidR="004120DD">
        <w:t xml:space="preserve">ravnim tijelima:  </w:t>
      </w:r>
    </w:p>
    <w:tbl>
      <w:tblPr>
        <w:tblW w:w="9092" w:type="dxa"/>
        <w:tblLook w:val="04A0" w:firstRow="1" w:lastRow="0" w:firstColumn="1" w:lastColumn="0" w:noHBand="0" w:noVBand="1"/>
      </w:tblPr>
      <w:tblGrid>
        <w:gridCol w:w="5180"/>
        <w:gridCol w:w="1956"/>
        <w:gridCol w:w="1956"/>
      </w:tblGrid>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9F6146" w:rsidRPr="00732AF3" w:rsidRDefault="009F6146" w:rsidP="009F6146">
            <w:pPr>
              <w:spacing w:after="0" w:line="240" w:lineRule="auto"/>
              <w:jc w:val="center"/>
              <w:rPr>
                <w:rFonts w:ascii="Calibri" w:eastAsia="Times New Roman" w:hAnsi="Calibri" w:cs="Calibri"/>
                <w:lang w:eastAsia="hr-HR"/>
              </w:rPr>
            </w:pPr>
            <w:r w:rsidRPr="00732AF3">
              <w:rPr>
                <w:rFonts w:ascii="Calibri" w:eastAsia="Times New Roman" w:hAnsi="Calibri" w:cs="Calibri"/>
                <w:lang w:eastAsia="hr-HR"/>
              </w:rPr>
              <w:t>NAZIV</w:t>
            </w:r>
          </w:p>
        </w:tc>
        <w:tc>
          <w:tcPr>
            <w:tcW w:w="1956" w:type="dxa"/>
            <w:tcBorders>
              <w:top w:val="single" w:sz="4" w:space="0" w:color="auto"/>
              <w:left w:val="nil"/>
              <w:bottom w:val="single" w:sz="4" w:space="0" w:color="auto"/>
              <w:right w:val="single" w:sz="4" w:space="0" w:color="auto"/>
            </w:tcBorders>
            <w:shd w:val="clear" w:color="000000" w:fill="DEEAF6"/>
            <w:vAlign w:val="center"/>
            <w:hideMark/>
          </w:tcPr>
          <w:p w:rsidR="009F6146" w:rsidRPr="00732AF3" w:rsidRDefault="009F6146" w:rsidP="009F6146">
            <w:pPr>
              <w:spacing w:after="0" w:line="240" w:lineRule="auto"/>
              <w:jc w:val="center"/>
              <w:rPr>
                <w:rFonts w:ascii="Calibri" w:eastAsia="Times New Roman" w:hAnsi="Calibri" w:cs="Calibri"/>
                <w:lang w:eastAsia="hr-HR"/>
              </w:rPr>
            </w:pPr>
            <w:r w:rsidRPr="00732AF3">
              <w:rPr>
                <w:rFonts w:ascii="Calibri" w:eastAsia="Times New Roman" w:hAnsi="Calibri" w:cs="Calibri"/>
                <w:lang w:eastAsia="hr-HR"/>
              </w:rPr>
              <w:t>Stanje 01.01.</w:t>
            </w:r>
            <w:r>
              <w:rPr>
                <w:rFonts w:ascii="Calibri" w:eastAsia="Times New Roman" w:hAnsi="Calibri" w:cs="Calibri"/>
                <w:lang w:eastAsia="hr-HR"/>
              </w:rPr>
              <w:t>20</w:t>
            </w:r>
            <w:r w:rsidRPr="00732AF3">
              <w:rPr>
                <w:rFonts w:ascii="Calibri" w:eastAsia="Times New Roman" w:hAnsi="Calibri" w:cs="Calibri"/>
                <w:lang w:eastAsia="hr-HR"/>
              </w:rPr>
              <w:t>.</w:t>
            </w:r>
          </w:p>
        </w:tc>
        <w:tc>
          <w:tcPr>
            <w:tcW w:w="1956" w:type="dxa"/>
            <w:tcBorders>
              <w:top w:val="single" w:sz="4" w:space="0" w:color="auto"/>
              <w:left w:val="nil"/>
              <w:bottom w:val="single" w:sz="4" w:space="0" w:color="auto"/>
              <w:right w:val="single" w:sz="4" w:space="0" w:color="auto"/>
            </w:tcBorders>
            <w:shd w:val="clear" w:color="000000" w:fill="DEEAF6"/>
            <w:vAlign w:val="center"/>
            <w:hideMark/>
          </w:tcPr>
          <w:p w:rsidR="009F6146" w:rsidRPr="00732AF3" w:rsidRDefault="009F6146" w:rsidP="009F6146">
            <w:pPr>
              <w:spacing w:after="0" w:line="240" w:lineRule="auto"/>
              <w:jc w:val="center"/>
              <w:rPr>
                <w:rFonts w:ascii="Calibri" w:eastAsia="Times New Roman" w:hAnsi="Calibri" w:cs="Calibri"/>
                <w:lang w:eastAsia="hr-HR"/>
              </w:rPr>
            </w:pPr>
            <w:r w:rsidRPr="00732AF3">
              <w:rPr>
                <w:rFonts w:ascii="Calibri" w:eastAsia="Times New Roman" w:hAnsi="Calibri" w:cs="Calibri"/>
                <w:lang w:eastAsia="hr-HR"/>
              </w:rPr>
              <w:t>Stanje 31.12.</w:t>
            </w:r>
            <w:r>
              <w:rPr>
                <w:rFonts w:ascii="Calibri" w:eastAsia="Times New Roman" w:hAnsi="Calibri" w:cs="Calibri"/>
                <w:lang w:eastAsia="hr-HR"/>
              </w:rPr>
              <w:t>20</w:t>
            </w:r>
            <w:r w:rsidRPr="00732AF3">
              <w:rPr>
                <w:rFonts w:ascii="Calibri" w:eastAsia="Times New Roman" w:hAnsi="Calibri" w:cs="Calibri"/>
                <w:lang w:eastAsia="hr-HR"/>
              </w:rPr>
              <w:t>.</w:t>
            </w:r>
          </w:p>
        </w:tc>
      </w:tr>
      <w:tr w:rsidR="009F6146" w:rsidRPr="00732AF3" w:rsidTr="009F6146">
        <w:trPr>
          <w:trHeight w:val="254"/>
        </w:trPr>
        <w:tc>
          <w:tcPr>
            <w:tcW w:w="5180" w:type="dxa"/>
            <w:tcBorders>
              <w:top w:val="nil"/>
              <w:left w:val="single" w:sz="4" w:space="0" w:color="auto"/>
              <w:bottom w:val="single" w:sz="4" w:space="0" w:color="auto"/>
              <w:right w:val="single" w:sz="4" w:space="0" w:color="auto"/>
            </w:tcBorders>
            <w:shd w:val="clear" w:color="000000" w:fill="DEEAF6"/>
            <w:vAlign w:val="center"/>
            <w:hideMark/>
          </w:tcPr>
          <w:p w:rsidR="009F6146" w:rsidRPr="00732AF3" w:rsidRDefault="009F6146" w:rsidP="009F6146">
            <w:pPr>
              <w:spacing w:after="0" w:line="240" w:lineRule="auto"/>
              <w:jc w:val="center"/>
              <w:rPr>
                <w:rFonts w:ascii="Calibri" w:eastAsia="Times New Roman" w:hAnsi="Calibri" w:cs="Calibri"/>
                <w:sz w:val="16"/>
                <w:szCs w:val="16"/>
                <w:lang w:eastAsia="hr-HR"/>
              </w:rPr>
            </w:pPr>
            <w:r w:rsidRPr="00732AF3">
              <w:rPr>
                <w:rFonts w:ascii="Calibri" w:eastAsia="Times New Roman" w:hAnsi="Calibri" w:cs="Calibri"/>
                <w:sz w:val="16"/>
                <w:szCs w:val="16"/>
                <w:lang w:eastAsia="hr-HR"/>
              </w:rPr>
              <w:t>1</w:t>
            </w:r>
          </w:p>
        </w:tc>
        <w:tc>
          <w:tcPr>
            <w:tcW w:w="1956" w:type="dxa"/>
            <w:tcBorders>
              <w:top w:val="nil"/>
              <w:left w:val="nil"/>
              <w:bottom w:val="single" w:sz="4" w:space="0" w:color="auto"/>
              <w:right w:val="single" w:sz="4" w:space="0" w:color="auto"/>
            </w:tcBorders>
            <w:shd w:val="clear" w:color="000000" w:fill="DEEAF6"/>
            <w:vAlign w:val="center"/>
            <w:hideMark/>
          </w:tcPr>
          <w:p w:rsidR="009F6146" w:rsidRPr="00732AF3" w:rsidRDefault="009F6146" w:rsidP="009F6146">
            <w:pPr>
              <w:spacing w:after="0" w:line="240" w:lineRule="auto"/>
              <w:jc w:val="center"/>
              <w:rPr>
                <w:rFonts w:ascii="Calibri" w:eastAsia="Times New Roman" w:hAnsi="Calibri" w:cs="Calibri"/>
                <w:sz w:val="16"/>
                <w:szCs w:val="16"/>
                <w:lang w:eastAsia="hr-HR"/>
              </w:rPr>
            </w:pPr>
            <w:r w:rsidRPr="00732AF3">
              <w:rPr>
                <w:rFonts w:ascii="Calibri" w:eastAsia="Times New Roman" w:hAnsi="Calibri" w:cs="Calibri"/>
                <w:sz w:val="16"/>
                <w:szCs w:val="16"/>
                <w:lang w:eastAsia="hr-HR"/>
              </w:rPr>
              <w:t>2</w:t>
            </w:r>
          </w:p>
        </w:tc>
        <w:tc>
          <w:tcPr>
            <w:tcW w:w="1956" w:type="dxa"/>
            <w:tcBorders>
              <w:top w:val="nil"/>
              <w:left w:val="nil"/>
              <w:bottom w:val="single" w:sz="4" w:space="0" w:color="auto"/>
              <w:right w:val="single" w:sz="4" w:space="0" w:color="auto"/>
            </w:tcBorders>
            <w:shd w:val="clear" w:color="000000" w:fill="DEEAF6"/>
            <w:vAlign w:val="center"/>
            <w:hideMark/>
          </w:tcPr>
          <w:p w:rsidR="009F6146" w:rsidRPr="00732AF3" w:rsidRDefault="009F6146" w:rsidP="009F6146">
            <w:pPr>
              <w:spacing w:after="0" w:line="240" w:lineRule="auto"/>
              <w:jc w:val="center"/>
              <w:rPr>
                <w:rFonts w:ascii="Calibri" w:eastAsia="Times New Roman" w:hAnsi="Calibri" w:cs="Calibri"/>
                <w:sz w:val="16"/>
                <w:szCs w:val="16"/>
                <w:lang w:eastAsia="hr-HR"/>
              </w:rPr>
            </w:pPr>
            <w:r w:rsidRPr="00732AF3">
              <w:rPr>
                <w:rFonts w:ascii="Calibri" w:eastAsia="Times New Roman" w:hAnsi="Calibri" w:cs="Calibri"/>
                <w:sz w:val="16"/>
                <w:szCs w:val="16"/>
                <w:lang w:eastAsia="hr-HR"/>
              </w:rPr>
              <w:t>3</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Ured gradonačelnika</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24.365.307</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31.190.550</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Ured za javnu nabavu</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1.912.812</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w:t>
            </w:r>
            <w:r>
              <w:rPr>
                <w:rFonts w:ascii="Calibri" w:eastAsia="Times New Roman" w:hAnsi="Calibri" w:cs="Calibri"/>
                <w:lang w:eastAsia="hr-HR"/>
              </w:rPr>
              <w:t>715.996</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Gradski kontrolni ured</w:t>
            </w:r>
          </w:p>
        </w:tc>
        <w:tc>
          <w:tcPr>
            <w:tcW w:w="1956" w:type="dxa"/>
            <w:tcBorders>
              <w:top w:val="single" w:sz="4" w:space="0" w:color="auto"/>
              <w:left w:val="nil"/>
              <w:bottom w:val="single" w:sz="4" w:space="0" w:color="auto"/>
              <w:right w:val="single" w:sz="4" w:space="0" w:color="auto"/>
            </w:tcBorders>
            <w:shd w:val="clear" w:color="000000" w:fill="FFFFFF"/>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573.598</w:t>
            </w:r>
          </w:p>
        </w:tc>
        <w:tc>
          <w:tcPr>
            <w:tcW w:w="1956" w:type="dxa"/>
            <w:tcBorders>
              <w:top w:val="single" w:sz="4" w:space="0" w:color="auto"/>
              <w:left w:val="nil"/>
              <w:bottom w:val="single" w:sz="4" w:space="0" w:color="auto"/>
              <w:right w:val="single" w:sz="4" w:space="0" w:color="auto"/>
            </w:tcBorders>
            <w:shd w:val="clear" w:color="000000" w:fill="FFFFFF"/>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621.160</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strategijsko planiranje i razvoj grada</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5.058.608</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5.</w:t>
            </w:r>
            <w:r>
              <w:rPr>
                <w:rFonts w:ascii="Calibri" w:eastAsia="Times New Roman" w:hAnsi="Calibri" w:cs="Calibri"/>
                <w:lang w:eastAsia="hr-HR"/>
              </w:rPr>
              <w:t>881.048</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Služba za mjesnu samoupravu</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63.610.682</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7.595.786</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Služba za mjesnu samoupravu – gradske četvrti</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277.449.017</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483.889.672</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opću upravu</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8.839.198</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4.150.144</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financije</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1.045.224.434</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w:t>
            </w:r>
            <w:r>
              <w:rPr>
                <w:rFonts w:ascii="Calibri" w:eastAsia="Times New Roman" w:hAnsi="Calibri" w:cs="Calibri"/>
                <w:lang w:eastAsia="hr-HR"/>
              </w:rPr>
              <w:t>489.455.656</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gospodarstvo, energetiku i zaštitu okoliša</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521.350.077</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333.680.842</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obrazovanje</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26.915.537</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40.484.086</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Predškolski odgoj i obrazovanje</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5.937.407</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10.957.207</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Osnovno školstvo</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25.964.143</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49.529.065</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Srednje školstvo</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30.141.479</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32.170.884</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zdravstvo</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13.398.411</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32.697.513</w:t>
            </w:r>
          </w:p>
        </w:tc>
      </w:tr>
      <w:tr w:rsidR="009F6146" w:rsidRPr="00732AF3" w:rsidTr="00BE5F8A">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Javnozdravstvene ustanove</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1.484.029</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w:t>
            </w:r>
            <w:r>
              <w:rPr>
                <w:rFonts w:ascii="Calibri" w:eastAsia="Times New Roman" w:hAnsi="Calibri" w:cs="Calibri"/>
                <w:lang w:eastAsia="hr-HR"/>
              </w:rPr>
              <w:t>384.396</w:t>
            </w:r>
          </w:p>
        </w:tc>
      </w:tr>
      <w:tr w:rsidR="009F6146" w:rsidRPr="00732AF3" w:rsidTr="00BE5F8A">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poljoprivredu i šumarstvo</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11.851.476</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12.540.725</w:t>
            </w:r>
          </w:p>
        </w:tc>
      </w:tr>
      <w:tr w:rsidR="009F6146" w:rsidRPr="00732AF3" w:rsidTr="00BE5F8A">
        <w:trPr>
          <w:trHeight w:val="5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w:t>
            </w:r>
            <w:r>
              <w:rPr>
                <w:rFonts w:ascii="Calibri" w:eastAsia="Times New Roman" w:hAnsi="Calibri" w:cs="Calibri"/>
                <w:lang w:eastAsia="hr-HR"/>
              </w:rPr>
              <w:t xml:space="preserve"> prostorno uređenje, izgradnju G</w:t>
            </w:r>
            <w:r w:rsidRPr="00732AF3">
              <w:rPr>
                <w:rFonts w:ascii="Calibri" w:eastAsia="Times New Roman" w:hAnsi="Calibri" w:cs="Calibri"/>
                <w:lang w:eastAsia="hr-HR"/>
              </w:rPr>
              <w:t>rada, graditeljstvo, komunalne poslove i promet</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288.437.514</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239.372.152</w:t>
            </w:r>
          </w:p>
        </w:tc>
      </w:tr>
      <w:tr w:rsidR="009F6146" w:rsidRPr="00732AF3" w:rsidTr="00BE5F8A">
        <w:trPr>
          <w:trHeight w:val="350"/>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 xml:space="preserve">GU za </w:t>
            </w:r>
            <w:r>
              <w:rPr>
                <w:rFonts w:ascii="Calibri" w:eastAsia="Times New Roman" w:hAnsi="Calibri" w:cs="Calibri"/>
                <w:lang w:eastAsia="hr-HR"/>
              </w:rPr>
              <w:t>upravljanje imovinom G</w:t>
            </w:r>
            <w:r w:rsidRPr="00732AF3">
              <w:rPr>
                <w:rFonts w:ascii="Calibri" w:eastAsia="Times New Roman" w:hAnsi="Calibri" w:cs="Calibri"/>
                <w:lang w:eastAsia="hr-HR"/>
              </w:rPr>
              <w:t>rada</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623.543.543</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567.997.176</w:t>
            </w:r>
          </w:p>
        </w:tc>
      </w:tr>
      <w:tr w:rsidR="009F6146" w:rsidRPr="00732AF3" w:rsidTr="00BE5F8A">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katastar i geodetske poslove</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3.335.279</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3.</w:t>
            </w:r>
            <w:r>
              <w:rPr>
                <w:rFonts w:ascii="Calibri" w:eastAsia="Times New Roman" w:hAnsi="Calibri" w:cs="Calibri"/>
                <w:lang w:eastAsia="hr-HR"/>
              </w:rPr>
              <w:t>779.249</w:t>
            </w:r>
          </w:p>
        </w:tc>
      </w:tr>
      <w:tr w:rsidR="009F6146" w:rsidRPr="00732AF3" w:rsidTr="00BE5F8A">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Ured za programe i projekte EU</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1.173.723</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w:t>
            </w:r>
            <w:r>
              <w:rPr>
                <w:rFonts w:ascii="Calibri" w:eastAsia="Times New Roman" w:hAnsi="Calibri" w:cs="Calibri"/>
                <w:lang w:eastAsia="hr-HR"/>
              </w:rPr>
              <w:t>084.077</w:t>
            </w:r>
          </w:p>
        </w:tc>
      </w:tr>
      <w:tr w:rsidR="009F6146" w:rsidRPr="00732AF3" w:rsidTr="00BE5F8A">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branitelje</w:t>
            </w:r>
          </w:p>
        </w:tc>
        <w:tc>
          <w:tcPr>
            <w:tcW w:w="1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2.068.912</w:t>
            </w:r>
          </w:p>
        </w:tc>
        <w:tc>
          <w:tcPr>
            <w:tcW w:w="1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1.525.548</w:t>
            </w:r>
          </w:p>
        </w:tc>
      </w:tr>
      <w:tr w:rsidR="009F6146" w:rsidRPr="00732AF3" w:rsidTr="00BE5F8A">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GZ za zaštitu spomenika kulture i prirode</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1.144.853</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985.256</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Stručna služba Gradske skupštine Grada Zagreba</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2.422.218</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1.983.554</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Ured za upravljanje u hitnim situacijama</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2.502.850</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3.940.356</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Stručna služba gradonačelnika</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15.208.451</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19.484.888</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socijalnu zaštitu i osobe s invaliditetom</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21.038.778</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25.533.068</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Ustanove socijalne zaštite</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49.400</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74.550</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demografiju</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8.716.019</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1.621.996</w:t>
            </w:r>
          </w:p>
        </w:tc>
      </w:tr>
      <w:tr w:rsidR="009F6146" w:rsidRPr="00732AF3" w:rsidTr="009F6146">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kulturu</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1.762.018</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2.100.724</w:t>
            </w:r>
          </w:p>
        </w:tc>
      </w:tr>
      <w:tr w:rsidR="009F6146" w:rsidRPr="00732AF3" w:rsidTr="009F6146">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 xml:space="preserve">Djelatnost kulture </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1.033.720</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618.187</w:t>
            </w:r>
          </w:p>
        </w:tc>
      </w:tr>
      <w:tr w:rsidR="009F6146" w:rsidRPr="00732AF3" w:rsidTr="004120DD">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GU za sport i mlade</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10.217.234</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24.482.569</w:t>
            </w:r>
          </w:p>
        </w:tc>
      </w:tr>
      <w:tr w:rsidR="009F6146" w:rsidRPr="00732AF3" w:rsidTr="004120DD">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Djelatnost sporta</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17.229.031</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22.508.636</w:t>
            </w:r>
          </w:p>
        </w:tc>
      </w:tr>
      <w:tr w:rsidR="009F6146" w:rsidRPr="00732AF3" w:rsidTr="004120DD">
        <w:trPr>
          <w:trHeight w:val="5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Ured za međugradsku i međunarodnu suradnju i promicanje ljudskih prava</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2.091.322</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974.289</w:t>
            </w:r>
          </w:p>
        </w:tc>
      </w:tr>
      <w:tr w:rsidR="009F6146" w:rsidRPr="00732AF3" w:rsidTr="004120DD">
        <w:trPr>
          <w:trHeight w:val="275"/>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rsidR="009F6146" w:rsidRPr="00732AF3" w:rsidRDefault="009F6146" w:rsidP="009F6146">
            <w:pPr>
              <w:spacing w:after="0" w:line="240" w:lineRule="auto"/>
              <w:rPr>
                <w:rFonts w:ascii="Calibri" w:eastAsia="Times New Roman" w:hAnsi="Calibri" w:cs="Calibri"/>
                <w:lang w:eastAsia="hr-HR"/>
              </w:rPr>
            </w:pPr>
            <w:r>
              <w:rPr>
                <w:rFonts w:ascii="Calibri" w:eastAsia="Times New Roman" w:hAnsi="Calibri" w:cs="Calibri"/>
                <w:lang w:eastAsia="hr-HR"/>
              </w:rPr>
              <w:t>GU za imovinsko-pravne poslove</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0</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rsidR="009F6146"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4.832.234</w:t>
            </w:r>
          </w:p>
        </w:tc>
      </w:tr>
      <w:tr w:rsidR="009F6146" w:rsidRPr="00732AF3" w:rsidTr="004120DD">
        <w:trPr>
          <w:trHeight w:val="275"/>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rsidR="009F6146" w:rsidRDefault="009F6146" w:rsidP="009F6146">
            <w:pPr>
              <w:spacing w:after="0" w:line="240" w:lineRule="auto"/>
              <w:rPr>
                <w:rFonts w:ascii="Calibri" w:eastAsia="Times New Roman" w:hAnsi="Calibri" w:cs="Calibri"/>
                <w:lang w:eastAsia="hr-HR"/>
              </w:rPr>
            </w:pPr>
            <w:r>
              <w:rPr>
                <w:rFonts w:ascii="Calibri" w:eastAsia="Times New Roman" w:hAnsi="Calibri" w:cs="Calibri"/>
                <w:lang w:eastAsia="hr-HR"/>
              </w:rPr>
              <w:t>Ured za zastupanje</w:t>
            </w:r>
          </w:p>
        </w:tc>
        <w:tc>
          <w:tcPr>
            <w:tcW w:w="1956" w:type="dxa"/>
            <w:tcBorders>
              <w:top w:val="single" w:sz="4" w:space="0" w:color="auto"/>
              <w:left w:val="nil"/>
              <w:bottom w:val="single" w:sz="4" w:space="0" w:color="auto"/>
              <w:right w:val="single" w:sz="4" w:space="0" w:color="auto"/>
            </w:tcBorders>
            <w:shd w:val="clear" w:color="auto" w:fill="auto"/>
            <w:vAlign w:val="center"/>
          </w:tcPr>
          <w:p w:rsidR="009F6146"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0</w:t>
            </w:r>
          </w:p>
        </w:tc>
        <w:tc>
          <w:tcPr>
            <w:tcW w:w="1956" w:type="dxa"/>
            <w:tcBorders>
              <w:top w:val="single" w:sz="4" w:space="0" w:color="auto"/>
              <w:left w:val="nil"/>
              <w:bottom w:val="single" w:sz="4" w:space="0" w:color="auto"/>
              <w:right w:val="single" w:sz="4" w:space="0" w:color="auto"/>
            </w:tcBorders>
            <w:shd w:val="clear" w:color="auto" w:fill="auto"/>
            <w:vAlign w:val="center"/>
          </w:tcPr>
          <w:p w:rsidR="009F6146"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4.188.339</w:t>
            </w:r>
          </w:p>
        </w:tc>
      </w:tr>
      <w:tr w:rsidR="009F6146" w:rsidRPr="00732AF3" w:rsidTr="004F1269">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b/>
                <w:bCs/>
                <w:lang w:eastAsia="hr-HR"/>
              </w:rPr>
            </w:pPr>
            <w:r w:rsidRPr="00732AF3">
              <w:rPr>
                <w:rFonts w:ascii="Calibri" w:eastAsia="Times New Roman" w:hAnsi="Calibri" w:cs="Calibri"/>
                <w:b/>
                <w:bCs/>
                <w:lang w:eastAsia="hr-HR"/>
              </w:rPr>
              <w:t>Proračun Grada Zagreba</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 </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b/>
                <w:bCs/>
                <w:lang w:eastAsia="hr-HR"/>
              </w:rPr>
            </w:pPr>
            <w:r w:rsidRPr="00732AF3">
              <w:rPr>
                <w:rFonts w:ascii="Calibri" w:eastAsia="Times New Roman" w:hAnsi="Calibri" w:cs="Calibri"/>
                <w:b/>
                <w:bCs/>
                <w:lang w:eastAsia="hr-HR"/>
              </w:rPr>
              <w:t> </w:t>
            </w:r>
          </w:p>
        </w:tc>
      </w:tr>
      <w:tr w:rsidR="009F6146" w:rsidRPr="00732AF3" w:rsidTr="004F1269">
        <w:trPr>
          <w:trHeight w:val="5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Obveze za ostale naknade građanima i kućanstvima u novcu</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71.750</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73.900</w:t>
            </w:r>
          </w:p>
        </w:tc>
      </w:tr>
      <w:tr w:rsidR="009F6146" w:rsidRPr="00732AF3" w:rsidTr="004F1269">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Obveze za PDV po obračunu</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40.896.119</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57.733.461</w:t>
            </w:r>
          </w:p>
        </w:tc>
      </w:tr>
      <w:tr w:rsidR="009F6146" w:rsidRPr="00732AF3" w:rsidTr="002C7A08">
        <w:trPr>
          <w:trHeight w:val="299"/>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 xml:space="preserve">Obveze za </w:t>
            </w:r>
            <w:proofErr w:type="spellStart"/>
            <w:r w:rsidRPr="00732AF3">
              <w:rPr>
                <w:rFonts w:ascii="Calibri" w:eastAsia="Times New Roman" w:hAnsi="Calibri" w:cs="Calibri"/>
                <w:lang w:eastAsia="hr-HR"/>
              </w:rPr>
              <w:t>jamčevne</w:t>
            </w:r>
            <w:proofErr w:type="spellEnd"/>
            <w:r w:rsidRPr="00732AF3">
              <w:rPr>
                <w:rFonts w:ascii="Calibri" w:eastAsia="Times New Roman" w:hAnsi="Calibri" w:cs="Calibri"/>
                <w:lang w:eastAsia="hr-HR"/>
              </w:rPr>
              <w:t xml:space="preserve"> </w:t>
            </w:r>
            <w:proofErr w:type="spellStart"/>
            <w:r w:rsidRPr="00732AF3">
              <w:rPr>
                <w:rFonts w:ascii="Calibri" w:eastAsia="Times New Roman" w:hAnsi="Calibri" w:cs="Calibri"/>
                <w:lang w:eastAsia="hr-HR"/>
              </w:rPr>
              <w:t>pologe</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9.844.254</w:t>
            </w:r>
          </w:p>
        </w:tc>
        <w:tc>
          <w:tcPr>
            <w:tcW w:w="1956" w:type="dxa"/>
            <w:tcBorders>
              <w:top w:val="nil"/>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9.367.279</w:t>
            </w:r>
          </w:p>
        </w:tc>
      </w:tr>
      <w:tr w:rsidR="009F6146" w:rsidRPr="00732AF3" w:rsidTr="002C7A08">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lastRenderedPageBreak/>
              <w:t>Ostale nespomenute obveze</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3.822.682</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1.434.475</w:t>
            </w:r>
          </w:p>
        </w:tc>
      </w:tr>
      <w:tr w:rsidR="009F6146" w:rsidRPr="00732AF3" w:rsidTr="002C7A08">
        <w:trPr>
          <w:trHeight w:val="29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 xml:space="preserve">Obveze za EU predujmove </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7.126.597</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9.814.248</w:t>
            </w:r>
          </w:p>
        </w:tc>
      </w:tr>
      <w:tr w:rsidR="009F6146" w:rsidRPr="00732AF3" w:rsidTr="002C7A08">
        <w:trPr>
          <w:trHeight w:val="743"/>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rPr>
                <w:rFonts w:ascii="Calibri" w:eastAsia="Times New Roman" w:hAnsi="Calibri" w:cs="Calibri"/>
                <w:lang w:eastAsia="hr-HR"/>
              </w:rPr>
            </w:pPr>
            <w:r w:rsidRPr="00732AF3">
              <w:rPr>
                <w:rFonts w:ascii="Calibri" w:eastAsia="Times New Roman" w:hAnsi="Calibri" w:cs="Calibri"/>
                <w:lang w:eastAsia="hr-HR"/>
              </w:rPr>
              <w:t>Obveze prema Republici Hrvatskoj (zakonsko izdvajanje) prema ukupno zaključenim ugovorima o otkupu stanova, kao i obveze za nadstojničke stanove</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sidRPr="00732AF3">
              <w:rPr>
                <w:rFonts w:ascii="Calibri" w:eastAsia="Times New Roman" w:hAnsi="Calibri" w:cs="Calibri"/>
                <w:lang w:eastAsia="hr-HR"/>
              </w:rPr>
              <w:t>44.688.224</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28.148.134</w:t>
            </w:r>
          </w:p>
        </w:tc>
      </w:tr>
      <w:tr w:rsidR="009F6146" w:rsidRPr="00732AF3" w:rsidTr="002C7A08">
        <w:trPr>
          <w:trHeight w:val="299"/>
        </w:trPr>
        <w:tc>
          <w:tcPr>
            <w:tcW w:w="5180" w:type="dxa"/>
            <w:tcBorders>
              <w:top w:val="single" w:sz="4" w:space="0" w:color="auto"/>
              <w:left w:val="single" w:sz="4" w:space="0" w:color="auto"/>
              <w:bottom w:val="single" w:sz="4" w:space="0" w:color="auto"/>
              <w:right w:val="nil"/>
            </w:tcBorders>
            <w:shd w:val="clear" w:color="auto" w:fill="auto"/>
            <w:vAlign w:val="center"/>
            <w:hideMark/>
          </w:tcPr>
          <w:p w:rsidR="009F6146" w:rsidRPr="00732AF3" w:rsidRDefault="009F6146" w:rsidP="009F6146">
            <w:pPr>
              <w:spacing w:after="0" w:line="240" w:lineRule="auto"/>
              <w:rPr>
                <w:rFonts w:ascii="Calibri" w:eastAsia="Times New Roman" w:hAnsi="Calibri" w:cs="Calibri"/>
                <w:b/>
                <w:bCs/>
                <w:lang w:eastAsia="hr-HR"/>
              </w:rPr>
            </w:pPr>
            <w:r w:rsidRPr="00732AF3">
              <w:rPr>
                <w:rFonts w:ascii="Calibri" w:eastAsia="Times New Roman" w:hAnsi="Calibri" w:cs="Calibri"/>
                <w:b/>
                <w:bCs/>
                <w:lang w:eastAsia="hr-HR"/>
              </w:rPr>
              <w:t>UKUPNO</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3.17</w:t>
            </w:r>
            <w:r w:rsidRPr="00732AF3">
              <w:rPr>
                <w:rFonts w:ascii="Calibri" w:eastAsia="Times New Roman" w:hAnsi="Calibri" w:cs="Calibri"/>
                <w:lang w:eastAsia="hr-HR"/>
              </w:rPr>
              <w:t>4.084.554</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F6146" w:rsidRPr="00732AF3" w:rsidRDefault="009F6146" w:rsidP="009F6146">
            <w:pPr>
              <w:spacing w:after="0" w:line="240" w:lineRule="auto"/>
              <w:jc w:val="right"/>
              <w:rPr>
                <w:rFonts w:ascii="Calibri" w:eastAsia="Times New Roman" w:hAnsi="Calibri" w:cs="Calibri"/>
                <w:lang w:eastAsia="hr-HR"/>
              </w:rPr>
            </w:pPr>
            <w:r>
              <w:rPr>
                <w:rFonts w:ascii="Calibri" w:eastAsia="Times New Roman" w:hAnsi="Calibri" w:cs="Calibri"/>
                <w:lang w:eastAsia="hr-HR"/>
              </w:rPr>
              <w:t>3.571.603.074</w:t>
            </w:r>
          </w:p>
        </w:tc>
      </w:tr>
    </w:tbl>
    <w:p w:rsidR="009F6146" w:rsidRDefault="009F6146" w:rsidP="009F6146">
      <w:pPr>
        <w:spacing w:after="0"/>
        <w:jc w:val="both"/>
      </w:pPr>
    </w:p>
    <w:p w:rsidR="009F6146" w:rsidRDefault="009F6146" w:rsidP="009F6146">
      <w:pPr>
        <w:jc w:val="both"/>
      </w:pPr>
      <w:r w:rsidRPr="003D0188">
        <w:rPr>
          <w:b/>
        </w:rPr>
        <w:t>Bilješka br. 18</w:t>
      </w:r>
      <w:r w:rsidRPr="003D0188">
        <w:t xml:space="preserve"> – </w:t>
      </w:r>
      <w:r w:rsidRPr="003D0188">
        <w:rPr>
          <w:b/>
        </w:rPr>
        <w:t>AOP 179 Obveze za kazne, naknade šteta i kapitalne pomoći</w:t>
      </w:r>
      <w:r>
        <w:t xml:space="preserve"> </w:t>
      </w:r>
    </w:p>
    <w:tbl>
      <w:tblPr>
        <w:tblStyle w:val="TableGrid"/>
        <w:tblW w:w="0" w:type="auto"/>
        <w:tblLook w:val="04A0" w:firstRow="1" w:lastRow="0" w:firstColumn="1" w:lastColumn="0" w:noHBand="0" w:noVBand="1"/>
      </w:tblPr>
      <w:tblGrid>
        <w:gridCol w:w="864"/>
        <w:gridCol w:w="1906"/>
        <w:gridCol w:w="603"/>
        <w:gridCol w:w="1640"/>
        <w:gridCol w:w="1669"/>
        <w:gridCol w:w="973"/>
        <w:gridCol w:w="1407"/>
      </w:tblGrid>
      <w:tr w:rsidR="009F6146" w:rsidRPr="007F3BC9" w:rsidTr="009F6146">
        <w:trPr>
          <w:trHeight w:val="600"/>
        </w:trPr>
        <w:tc>
          <w:tcPr>
            <w:tcW w:w="864" w:type="dxa"/>
            <w:shd w:val="clear" w:color="auto" w:fill="DEEAF6" w:themeFill="accent1" w:themeFillTint="33"/>
            <w:noWrap/>
            <w:vAlign w:val="center"/>
            <w:hideMark/>
          </w:tcPr>
          <w:p w:rsidR="009F6146" w:rsidRPr="007F3BC9" w:rsidRDefault="009F6146" w:rsidP="009F6146">
            <w:pPr>
              <w:jc w:val="center"/>
              <w:rPr>
                <w:sz w:val="20"/>
                <w:szCs w:val="20"/>
              </w:rPr>
            </w:pPr>
            <w:r w:rsidRPr="007F3BC9">
              <w:rPr>
                <w:sz w:val="20"/>
                <w:szCs w:val="20"/>
              </w:rPr>
              <w:t>RAČUN</w:t>
            </w:r>
          </w:p>
        </w:tc>
        <w:tc>
          <w:tcPr>
            <w:tcW w:w="2132" w:type="dxa"/>
            <w:shd w:val="clear" w:color="auto" w:fill="DEEAF6" w:themeFill="accent1" w:themeFillTint="33"/>
            <w:vAlign w:val="center"/>
            <w:hideMark/>
          </w:tcPr>
          <w:p w:rsidR="009F6146" w:rsidRPr="007F3BC9" w:rsidRDefault="009F6146" w:rsidP="009F6146">
            <w:pPr>
              <w:jc w:val="center"/>
            </w:pPr>
            <w:r w:rsidRPr="007F3BC9">
              <w:t>OPIS</w:t>
            </w:r>
          </w:p>
        </w:tc>
        <w:tc>
          <w:tcPr>
            <w:tcW w:w="603" w:type="dxa"/>
            <w:shd w:val="clear" w:color="auto" w:fill="DEEAF6" w:themeFill="accent1" w:themeFillTint="33"/>
            <w:noWrap/>
            <w:vAlign w:val="center"/>
            <w:hideMark/>
          </w:tcPr>
          <w:p w:rsidR="009F6146" w:rsidRPr="007F3BC9" w:rsidRDefault="009F6146" w:rsidP="009F6146">
            <w:pPr>
              <w:jc w:val="center"/>
              <w:rPr>
                <w:sz w:val="20"/>
                <w:szCs w:val="20"/>
              </w:rPr>
            </w:pPr>
            <w:r w:rsidRPr="007F3BC9">
              <w:rPr>
                <w:sz w:val="20"/>
                <w:szCs w:val="20"/>
              </w:rPr>
              <w:t>AOP</w:t>
            </w:r>
          </w:p>
        </w:tc>
        <w:tc>
          <w:tcPr>
            <w:tcW w:w="1640" w:type="dxa"/>
            <w:shd w:val="clear" w:color="auto" w:fill="DEEAF6" w:themeFill="accent1" w:themeFillTint="33"/>
            <w:noWrap/>
            <w:vAlign w:val="center"/>
            <w:hideMark/>
          </w:tcPr>
          <w:p w:rsidR="009F6146" w:rsidRPr="007F3BC9" w:rsidRDefault="009F6146" w:rsidP="009F6146">
            <w:pPr>
              <w:jc w:val="center"/>
            </w:pPr>
            <w:r w:rsidRPr="007F3BC9">
              <w:t>Stanje 01.01.</w:t>
            </w:r>
            <w:r>
              <w:t>20</w:t>
            </w:r>
            <w:r w:rsidRPr="007F3BC9">
              <w:t>.</w:t>
            </w:r>
          </w:p>
        </w:tc>
        <w:tc>
          <w:tcPr>
            <w:tcW w:w="1669" w:type="dxa"/>
            <w:shd w:val="clear" w:color="auto" w:fill="DEEAF6" w:themeFill="accent1" w:themeFillTint="33"/>
            <w:noWrap/>
            <w:vAlign w:val="center"/>
            <w:hideMark/>
          </w:tcPr>
          <w:p w:rsidR="009F6146" w:rsidRPr="007F3BC9" w:rsidRDefault="009F6146" w:rsidP="009F6146">
            <w:pPr>
              <w:jc w:val="center"/>
            </w:pPr>
            <w:r w:rsidRPr="007F3BC9">
              <w:t>Stanje 31.12.</w:t>
            </w:r>
            <w:r>
              <w:t>20</w:t>
            </w:r>
            <w:r w:rsidRPr="007F3BC9">
              <w:t>.</w:t>
            </w:r>
          </w:p>
        </w:tc>
        <w:tc>
          <w:tcPr>
            <w:tcW w:w="973" w:type="dxa"/>
            <w:shd w:val="clear" w:color="auto" w:fill="DEEAF6" w:themeFill="accent1" w:themeFillTint="33"/>
            <w:vAlign w:val="center"/>
            <w:hideMark/>
          </w:tcPr>
          <w:p w:rsidR="009F6146" w:rsidRPr="007F3BC9" w:rsidRDefault="009F6146" w:rsidP="009F6146">
            <w:pPr>
              <w:jc w:val="center"/>
              <w:rPr>
                <w:sz w:val="20"/>
                <w:szCs w:val="20"/>
              </w:rPr>
            </w:pPr>
            <w:r w:rsidRPr="007F3BC9">
              <w:rPr>
                <w:sz w:val="20"/>
                <w:szCs w:val="20"/>
              </w:rPr>
              <w:t>Indeks 5/4*100</w:t>
            </w:r>
          </w:p>
        </w:tc>
        <w:tc>
          <w:tcPr>
            <w:tcW w:w="1407" w:type="dxa"/>
            <w:shd w:val="clear" w:color="auto" w:fill="DEEAF6" w:themeFill="accent1" w:themeFillTint="33"/>
            <w:vAlign w:val="center"/>
            <w:hideMark/>
          </w:tcPr>
          <w:p w:rsidR="009F6146" w:rsidRPr="007F3BC9" w:rsidRDefault="009F6146" w:rsidP="009F6146">
            <w:pPr>
              <w:jc w:val="center"/>
            </w:pPr>
            <w:r>
              <w:t>Povećanje</w:t>
            </w:r>
          </w:p>
        </w:tc>
      </w:tr>
      <w:tr w:rsidR="009F6146" w:rsidRPr="007F3BC9" w:rsidTr="009F6146">
        <w:trPr>
          <w:trHeight w:val="195"/>
        </w:trPr>
        <w:tc>
          <w:tcPr>
            <w:tcW w:w="864"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1</w:t>
            </w:r>
          </w:p>
        </w:tc>
        <w:tc>
          <w:tcPr>
            <w:tcW w:w="2132" w:type="dxa"/>
            <w:tcBorders>
              <w:bottom w:val="single" w:sz="4" w:space="0" w:color="auto"/>
            </w:tcBorders>
            <w:shd w:val="clear" w:color="auto" w:fill="DEEAF6" w:themeFill="accent1" w:themeFillTint="33"/>
            <w:hideMark/>
          </w:tcPr>
          <w:p w:rsidR="009F6146" w:rsidRPr="007F3BC9" w:rsidRDefault="009F6146" w:rsidP="009F6146">
            <w:pPr>
              <w:jc w:val="center"/>
              <w:rPr>
                <w:sz w:val="16"/>
                <w:szCs w:val="16"/>
              </w:rPr>
            </w:pPr>
            <w:r w:rsidRPr="007F3BC9">
              <w:rPr>
                <w:sz w:val="16"/>
                <w:szCs w:val="16"/>
              </w:rPr>
              <w:t>2</w:t>
            </w:r>
          </w:p>
        </w:tc>
        <w:tc>
          <w:tcPr>
            <w:tcW w:w="603"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3</w:t>
            </w:r>
          </w:p>
        </w:tc>
        <w:tc>
          <w:tcPr>
            <w:tcW w:w="1640"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4</w:t>
            </w:r>
          </w:p>
        </w:tc>
        <w:tc>
          <w:tcPr>
            <w:tcW w:w="1669"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5</w:t>
            </w:r>
          </w:p>
        </w:tc>
        <w:tc>
          <w:tcPr>
            <w:tcW w:w="973"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6</w:t>
            </w:r>
          </w:p>
        </w:tc>
        <w:tc>
          <w:tcPr>
            <w:tcW w:w="1407"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7</w:t>
            </w:r>
            <w:r>
              <w:rPr>
                <w:sz w:val="16"/>
                <w:szCs w:val="16"/>
              </w:rPr>
              <w:t>=5-4</w:t>
            </w:r>
          </w:p>
        </w:tc>
      </w:tr>
      <w:tr w:rsidR="009F6146" w:rsidRPr="001E5F32" w:rsidTr="009F6146">
        <w:trPr>
          <w:trHeight w:val="415"/>
        </w:trPr>
        <w:tc>
          <w:tcPr>
            <w:tcW w:w="864" w:type="dxa"/>
            <w:shd w:val="clear" w:color="auto" w:fill="FFFFFF" w:themeFill="background1"/>
            <w:noWrap/>
            <w:vAlign w:val="center"/>
          </w:tcPr>
          <w:p w:rsidR="009F6146" w:rsidRPr="007F3BC9" w:rsidRDefault="009F6146" w:rsidP="009F6146">
            <w:pPr>
              <w:jc w:val="right"/>
            </w:pPr>
            <w:r w:rsidRPr="007F3BC9">
              <w:t>23</w:t>
            </w:r>
            <w:r>
              <w:t>8</w:t>
            </w:r>
          </w:p>
        </w:tc>
        <w:tc>
          <w:tcPr>
            <w:tcW w:w="2132" w:type="dxa"/>
            <w:shd w:val="clear" w:color="auto" w:fill="FFFFFF" w:themeFill="background1"/>
            <w:vAlign w:val="center"/>
          </w:tcPr>
          <w:p w:rsidR="009F6146" w:rsidRPr="007F3BC9" w:rsidRDefault="009F6146" w:rsidP="009F6146">
            <w:r w:rsidRPr="00D3124F">
              <w:t>Obveze za kazne, naknade šteta i kapitalne pomoći</w:t>
            </w:r>
          </w:p>
        </w:tc>
        <w:tc>
          <w:tcPr>
            <w:tcW w:w="603" w:type="dxa"/>
            <w:shd w:val="clear" w:color="auto" w:fill="FFFFFF" w:themeFill="background1"/>
            <w:noWrap/>
            <w:vAlign w:val="center"/>
          </w:tcPr>
          <w:p w:rsidR="009F6146" w:rsidRPr="007F3BC9" w:rsidRDefault="009F6146" w:rsidP="009F6146">
            <w:pPr>
              <w:jc w:val="right"/>
            </w:pPr>
            <w:r w:rsidRPr="007F3BC9">
              <w:t>17</w:t>
            </w:r>
            <w:r>
              <w:t>9</w:t>
            </w:r>
          </w:p>
        </w:tc>
        <w:tc>
          <w:tcPr>
            <w:tcW w:w="1640" w:type="dxa"/>
            <w:shd w:val="clear" w:color="auto" w:fill="FFFFFF" w:themeFill="background1"/>
            <w:noWrap/>
            <w:vAlign w:val="center"/>
          </w:tcPr>
          <w:p w:rsidR="009F6146" w:rsidRPr="007F3BC9" w:rsidRDefault="009F6146" w:rsidP="009F6146">
            <w:pPr>
              <w:jc w:val="right"/>
            </w:pPr>
            <w:r w:rsidRPr="00361816">
              <w:t>7.845.998</w:t>
            </w:r>
          </w:p>
        </w:tc>
        <w:tc>
          <w:tcPr>
            <w:tcW w:w="1669" w:type="dxa"/>
            <w:shd w:val="clear" w:color="auto" w:fill="FFFFFF" w:themeFill="background1"/>
            <w:noWrap/>
            <w:vAlign w:val="center"/>
          </w:tcPr>
          <w:p w:rsidR="009F6146" w:rsidRPr="007F3BC9" w:rsidRDefault="009F6146" w:rsidP="009F6146">
            <w:pPr>
              <w:jc w:val="right"/>
            </w:pPr>
            <w:r>
              <w:t>12.222.626</w:t>
            </w:r>
          </w:p>
        </w:tc>
        <w:tc>
          <w:tcPr>
            <w:tcW w:w="973" w:type="dxa"/>
            <w:shd w:val="clear" w:color="auto" w:fill="FFFFFF" w:themeFill="background1"/>
            <w:noWrap/>
            <w:vAlign w:val="center"/>
          </w:tcPr>
          <w:p w:rsidR="009F6146" w:rsidRPr="007F3BC9" w:rsidRDefault="009F6146" w:rsidP="009F6146">
            <w:pPr>
              <w:jc w:val="right"/>
            </w:pPr>
            <w:r>
              <w:t>155,8</w:t>
            </w:r>
          </w:p>
        </w:tc>
        <w:tc>
          <w:tcPr>
            <w:tcW w:w="1407" w:type="dxa"/>
            <w:shd w:val="clear" w:color="auto" w:fill="FFFFFF" w:themeFill="background1"/>
            <w:noWrap/>
            <w:vAlign w:val="center"/>
          </w:tcPr>
          <w:p w:rsidR="009F6146" w:rsidRPr="001E5F32" w:rsidRDefault="009F6146" w:rsidP="009F6146">
            <w:pPr>
              <w:jc w:val="right"/>
            </w:pPr>
            <w:r>
              <w:t>4.376.628</w:t>
            </w:r>
          </w:p>
        </w:tc>
      </w:tr>
    </w:tbl>
    <w:p w:rsidR="009F6146" w:rsidRDefault="009F6146" w:rsidP="009F6146">
      <w:pPr>
        <w:spacing w:after="0"/>
        <w:rPr>
          <w:b/>
        </w:rPr>
      </w:pPr>
    </w:p>
    <w:p w:rsidR="009F6146" w:rsidRDefault="009F6146" w:rsidP="009F6146">
      <w:pPr>
        <w:spacing w:after="0"/>
        <w:jc w:val="both"/>
      </w:pPr>
      <w:r>
        <w:t>Fond za zaštitu okoliša i energetsku učinkovitost utvrdio je za razdoblje 01.01. do 31.12.2019. poticajnu naknadu za smanjenje količine miješanog komunalnog otpada za Grad Zagreb u iznosu 8.815.907,63 kn rješenjem od 29.12.2020. koja dospijeva 28.01.2021.</w:t>
      </w:r>
    </w:p>
    <w:p w:rsidR="00BE5F8A" w:rsidRDefault="00BE5F8A" w:rsidP="009F6146">
      <w:pPr>
        <w:jc w:val="both"/>
        <w:rPr>
          <w:b/>
        </w:rPr>
      </w:pPr>
    </w:p>
    <w:p w:rsidR="009F6146" w:rsidRDefault="009F6146" w:rsidP="009F6146">
      <w:pPr>
        <w:jc w:val="both"/>
      </w:pPr>
      <w:r w:rsidRPr="003D0188">
        <w:rPr>
          <w:b/>
        </w:rPr>
        <w:t>Bilješka br. 19</w:t>
      </w:r>
      <w:r w:rsidRPr="003D0188">
        <w:t xml:space="preserve"> </w:t>
      </w:r>
      <w:r w:rsidRPr="003D0188">
        <w:rPr>
          <w:b/>
        </w:rPr>
        <w:t>– AOP 181 Obveze za nabavu nefinancijske imovine</w:t>
      </w:r>
      <w:r>
        <w:t xml:space="preserve"> </w:t>
      </w:r>
    </w:p>
    <w:tbl>
      <w:tblPr>
        <w:tblStyle w:val="TableGrid"/>
        <w:tblW w:w="0" w:type="auto"/>
        <w:tblLook w:val="04A0" w:firstRow="1" w:lastRow="0" w:firstColumn="1" w:lastColumn="0" w:noHBand="0" w:noVBand="1"/>
      </w:tblPr>
      <w:tblGrid>
        <w:gridCol w:w="864"/>
        <w:gridCol w:w="1906"/>
        <w:gridCol w:w="603"/>
        <w:gridCol w:w="1640"/>
        <w:gridCol w:w="1669"/>
        <w:gridCol w:w="973"/>
        <w:gridCol w:w="1407"/>
      </w:tblGrid>
      <w:tr w:rsidR="009F6146" w:rsidRPr="007F3BC9" w:rsidTr="009F6146">
        <w:trPr>
          <w:trHeight w:val="600"/>
        </w:trPr>
        <w:tc>
          <w:tcPr>
            <w:tcW w:w="864" w:type="dxa"/>
            <w:shd w:val="clear" w:color="auto" w:fill="DEEAF6" w:themeFill="accent1" w:themeFillTint="33"/>
            <w:noWrap/>
            <w:vAlign w:val="center"/>
            <w:hideMark/>
          </w:tcPr>
          <w:p w:rsidR="009F6146" w:rsidRPr="007F3BC9" w:rsidRDefault="009F6146" w:rsidP="009F6146">
            <w:pPr>
              <w:jc w:val="center"/>
              <w:rPr>
                <w:sz w:val="20"/>
                <w:szCs w:val="20"/>
              </w:rPr>
            </w:pPr>
            <w:r w:rsidRPr="007F3BC9">
              <w:rPr>
                <w:sz w:val="20"/>
                <w:szCs w:val="20"/>
              </w:rPr>
              <w:t>RAČUN</w:t>
            </w:r>
          </w:p>
        </w:tc>
        <w:tc>
          <w:tcPr>
            <w:tcW w:w="2132" w:type="dxa"/>
            <w:shd w:val="clear" w:color="auto" w:fill="DEEAF6" w:themeFill="accent1" w:themeFillTint="33"/>
            <w:vAlign w:val="center"/>
            <w:hideMark/>
          </w:tcPr>
          <w:p w:rsidR="009F6146" w:rsidRPr="007F3BC9" w:rsidRDefault="009F6146" w:rsidP="009F6146">
            <w:pPr>
              <w:jc w:val="center"/>
            </w:pPr>
            <w:r w:rsidRPr="007F3BC9">
              <w:t>OPIS</w:t>
            </w:r>
          </w:p>
        </w:tc>
        <w:tc>
          <w:tcPr>
            <w:tcW w:w="603" w:type="dxa"/>
            <w:shd w:val="clear" w:color="auto" w:fill="DEEAF6" w:themeFill="accent1" w:themeFillTint="33"/>
            <w:noWrap/>
            <w:vAlign w:val="center"/>
            <w:hideMark/>
          </w:tcPr>
          <w:p w:rsidR="009F6146" w:rsidRPr="007F3BC9" w:rsidRDefault="009F6146" w:rsidP="009F6146">
            <w:pPr>
              <w:jc w:val="center"/>
              <w:rPr>
                <w:sz w:val="20"/>
                <w:szCs w:val="20"/>
              </w:rPr>
            </w:pPr>
            <w:r w:rsidRPr="007F3BC9">
              <w:rPr>
                <w:sz w:val="20"/>
                <w:szCs w:val="20"/>
              </w:rPr>
              <w:t>AOP</w:t>
            </w:r>
          </w:p>
        </w:tc>
        <w:tc>
          <w:tcPr>
            <w:tcW w:w="1640" w:type="dxa"/>
            <w:shd w:val="clear" w:color="auto" w:fill="DEEAF6" w:themeFill="accent1" w:themeFillTint="33"/>
            <w:noWrap/>
            <w:vAlign w:val="center"/>
            <w:hideMark/>
          </w:tcPr>
          <w:p w:rsidR="009F6146" w:rsidRPr="007F3BC9" w:rsidRDefault="009F6146" w:rsidP="009F6146">
            <w:pPr>
              <w:jc w:val="center"/>
            </w:pPr>
            <w:r w:rsidRPr="007F3BC9">
              <w:t>Stanje 01.01.</w:t>
            </w:r>
            <w:r>
              <w:t>20</w:t>
            </w:r>
            <w:r w:rsidRPr="007F3BC9">
              <w:t>.</w:t>
            </w:r>
          </w:p>
        </w:tc>
        <w:tc>
          <w:tcPr>
            <w:tcW w:w="1669" w:type="dxa"/>
            <w:shd w:val="clear" w:color="auto" w:fill="DEEAF6" w:themeFill="accent1" w:themeFillTint="33"/>
            <w:noWrap/>
            <w:vAlign w:val="center"/>
            <w:hideMark/>
          </w:tcPr>
          <w:p w:rsidR="009F6146" w:rsidRPr="007F3BC9" w:rsidRDefault="009F6146" w:rsidP="009F6146">
            <w:pPr>
              <w:jc w:val="center"/>
            </w:pPr>
            <w:r w:rsidRPr="007F3BC9">
              <w:t>Stanje 31.12.</w:t>
            </w:r>
            <w:r>
              <w:t>20</w:t>
            </w:r>
            <w:r w:rsidRPr="007F3BC9">
              <w:t>.</w:t>
            </w:r>
          </w:p>
        </w:tc>
        <w:tc>
          <w:tcPr>
            <w:tcW w:w="973" w:type="dxa"/>
            <w:shd w:val="clear" w:color="auto" w:fill="DEEAF6" w:themeFill="accent1" w:themeFillTint="33"/>
            <w:vAlign w:val="center"/>
            <w:hideMark/>
          </w:tcPr>
          <w:p w:rsidR="009F6146" w:rsidRPr="007F3BC9" w:rsidRDefault="009F6146" w:rsidP="009F6146">
            <w:pPr>
              <w:jc w:val="center"/>
              <w:rPr>
                <w:sz w:val="20"/>
                <w:szCs w:val="20"/>
              </w:rPr>
            </w:pPr>
            <w:r w:rsidRPr="007F3BC9">
              <w:rPr>
                <w:sz w:val="20"/>
                <w:szCs w:val="20"/>
              </w:rPr>
              <w:t>Indeks 5/4*100</w:t>
            </w:r>
          </w:p>
        </w:tc>
        <w:tc>
          <w:tcPr>
            <w:tcW w:w="1407" w:type="dxa"/>
            <w:shd w:val="clear" w:color="auto" w:fill="DEEAF6" w:themeFill="accent1" w:themeFillTint="33"/>
            <w:vAlign w:val="center"/>
            <w:hideMark/>
          </w:tcPr>
          <w:p w:rsidR="009F6146" w:rsidRPr="007F3BC9" w:rsidRDefault="009F6146" w:rsidP="009F6146">
            <w:pPr>
              <w:jc w:val="center"/>
            </w:pPr>
            <w:r>
              <w:t>Smanjenje</w:t>
            </w:r>
          </w:p>
        </w:tc>
      </w:tr>
      <w:tr w:rsidR="009F6146" w:rsidRPr="007F3BC9" w:rsidTr="009F6146">
        <w:trPr>
          <w:trHeight w:val="195"/>
        </w:trPr>
        <w:tc>
          <w:tcPr>
            <w:tcW w:w="864"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1</w:t>
            </w:r>
          </w:p>
        </w:tc>
        <w:tc>
          <w:tcPr>
            <w:tcW w:w="2132" w:type="dxa"/>
            <w:tcBorders>
              <w:bottom w:val="single" w:sz="4" w:space="0" w:color="auto"/>
            </w:tcBorders>
            <w:shd w:val="clear" w:color="auto" w:fill="DEEAF6" w:themeFill="accent1" w:themeFillTint="33"/>
            <w:hideMark/>
          </w:tcPr>
          <w:p w:rsidR="009F6146" w:rsidRPr="007F3BC9" w:rsidRDefault="009F6146" w:rsidP="009F6146">
            <w:pPr>
              <w:jc w:val="center"/>
              <w:rPr>
                <w:sz w:val="16"/>
                <w:szCs w:val="16"/>
              </w:rPr>
            </w:pPr>
            <w:r w:rsidRPr="007F3BC9">
              <w:rPr>
                <w:sz w:val="16"/>
                <w:szCs w:val="16"/>
              </w:rPr>
              <w:t>2</w:t>
            </w:r>
          </w:p>
        </w:tc>
        <w:tc>
          <w:tcPr>
            <w:tcW w:w="603"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3</w:t>
            </w:r>
          </w:p>
        </w:tc>
        <w:tc>
          <w:tcPr>
            <w:tcW w:w="1640"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4</w:t>
            </w:r>
          </w:p>
        </w:tc>
        <w:tc>
          <w:tcPr>
            <w:tcW w:w="1669"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5</w:t>
            </w:r>
          </w:p>
        </w:tc>
        <w:tc>
          <w:tcPr>
            <w:tcW w:w="973"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6</w:t>
            </w:r>
          </w:p>
        </w:tc>
        <w:tc>
          <w:tcPr>
            <w:tcW w:w="1407" w:type="dxa"/>
            <w:tcBorders>
              <w:bottom w:val="single" w:sz="4" w:space="0" w:color="auto"/>
            </w:tcBorders>
            <w:shd w:val="clear" w:color="auto" w:fill="DEEAF6" w:themeFill="accent1" w:themeFillTint="33"/>
            <w:noWrap/>
            <w:hideMark/>
          </w:tcPr>
          <w:p w:rsidR="009F6146" w:rsidRPr="007F3BC9" w:rsidRDefault="009F6146" w:rsidP="009F6146">
            <w:pPr>
              <w:jc w:val="center"/>
              <w:rPr>
                <w:sz w:val="16"/>
                <w:szCs w:val="16"/>
              </w:rPr>
            </w:pPr>
            <w:r w:rsidRPr="007F3BC9">
              <w:rPr>
                <w:sz w:val="16"/>
                <w:szCs w:val="16"/>
              </w:rPr>
              <w:t>7</w:t>
            </w:r>
            <w:r>
              <w:rPr>
                <w:sz w:val="16"/>
                <w:szCs w:val="16"/>
              </w:rPr>
              <w:t>=5-4</w:t>
            </w:r>
          </w:p>
        </w:tc>
      </w:tr>
      <w:tr w:rsidR="009F6146" w:rsidRPr="001E5F32" w:rsidTr="009F6146">
        <w:trPr>
          <w:trHeight w:val="415"/>
        </w:trPr>
        <w:tc>
          <w:tcPr>
            <w:tcW w:w="864" w:type="dxa"/>
            <w:shd w:val="clear" w:color="auto" w:fill="FFFFFF" w:themeFill="background1"/>
            <w:noWrap/>
            <w:vAlign w:val="center"/>
          </w:tcPr>
          <w:p w:rsidR="009F6146" w:rsidRPr="007F3BC9" w:rsidRDefault="009F6146" w:rsidP="009F6146">
            <w:pPr>
              <w:jc w:val="right"/>
            </w:pPr>
            <w:r w:rsidRPr="007F3BC9">
              <w:t>2</w:t>
            </w:r>
            <w:r>
              <w:t>4</w:t>
            </w:r>
          </w:p>
        </w:tc>
        <w:tc>
          <w:tcPr>
            <w:tcW w:w="2132" w:type="dxa"/>
            <w:shd w:val="clear" w:color="auto" w:fill="FFFFFF" w:themeFill="background1"/>
            <w:vAlign w:val="center"/>
          </w:tcPr>
          <w:p w:rsidR="009F6146" w:rsidRPr="007F3BC9" w:rsidRDefault="009F6146" w:rsidP="009F6146">
            <w:r w:rsidRPr="0002135E">
              <w:t>Obveze za nabavu nefinancijske imovine</w:t>
            </w:r>
          </w:p>
        </w:tc>
        <w:tc>
          <w:tcPr>
            <w:tcW w:w="603" w:type="dxa"/>
            <w:shd w:val="clear" w:color="auto" w:fill="FFFFFF" w:themeFill="background1"/>
            <w:noWrap/>
            <w:vAlign w:val="center"/>
          </w:tcPr>
          <w:p w:rsidR="009F6146" w:rsidRPr="007F3BC9" w:rsidRDefault="009F6146" w:rsidP="009F6146">
            <w:pPr>
              <w:jc w:val="right"/>
            </w:pPr>
            <w:r w:rsidRPr="007F3BC9">
              <w:t>1</w:t>
            </w:r>
            <w:r>
              <w:t>81</w:t>
            </w:r>
          </w:p>
        </w:tc>
        <w:tc>
          <w:tcPr>
            <w:tcW w:w="1640" w:type="dxa"/>
            <w:shd w:val="clear" w:color="auto" w:fill="FFFFFF" w:themeFill="background1"/>
            <w:noWrap/>
            <w:vAlign w:val="center"/>
          </w:tcPr>
          <w:p w:rsidR="009F6146" w:rsidRPr="007F3BC9" w:rsidRDefault="009F6146" w:rsidP="009F6146">
            <w:pPr>
              <w:jc w:val="right"/>
            </w:pPr>
            <w:r w:rsidRPr="00532486">
              <w:t>245.208.187</w:t>
            </w:r>
          </w:p>
        </w:tc>
        <w:tc>
          <w:tcPr>
            <w:tcW w:w="1669" w:type="dxa"/>
            <w:shd w:val="clear" w:color="auto" w:fill="FFFFFF" w:themeFill="background1"/>
            <w:noWrap/>
            <w:vAlign w:val="center"/>
          </w:tcPr>
          <w:p w:rsidR="009F6146" w:rsidRPr="007F3BC9" w:rsidRDefault="009F6146" w:rsidP="009F6146">
            <w:pPr>
              <w:jc w:val="right"/>
            </w:pPr>
            <w:r>
              <w:t>193.640.250</w:t>
            </w:r>
          </w:p>
        </w:tc>
        <w:tc>
          <w:tcPr>
            <w:tcW w:w="973" w:type="dxa"/>
            <w:shd w:val="clear" w:color="auto" w:fill="FFFFFF" w:themeFill="background1"/>
            <w:noWrap/>
            <w:vAlign w:val="center"/>
          </w:tcPr>
          <w:p w:rsidR="009F6146" w:rsidRPr="007F3BC9" w:rsidRDefault="009F6146" w:rsidP="009F6146">
            <w:pPr>
              <w:jc w:val="right"/>
            </w:pPr>
            <w:r>
              <w:t>79,0</w:t>
            </w:r>
          </w:p>
        </w:tc>
        <w:tc>
          <w:tcPr>
            <w:tcW w:w="1407" w:type="dxa"/>
            <w:shd w:val="clear" w:color="auto" w:fill="FFFFFF" w:themeFill="background1"/>
            <w:noWrap/>
            <w:vAlign w:val="center"/>
          </w:tcPr>
          <w:p w:rsidR="009F6146" w:rsidRPr="001E5F32" w:rsidRDefault="009F6146" w:rsidP="009F6146">
            <w:pPr>
              <w:jc w:val="right"/>
            </w:pPr>
            <w:r>
              <w:t>51.567.937</w:t>
            </w:r>
          </w:p>
        </w:tc>
      </w:tr>
    </w:tbl>
    <w:p w:rsidR="009F6146" w:rsidRDefault="009F6146" w:rsidP="009F6146">
      <w:pPr>
        <w:spacing w:after="0"/>
        <w:rPr>
          <w:b/>
        </w:rPr>
      </w:pPr>
    </w:p>
    <w:p w:rsidR="009F6146" w:rsidRDefault="009F6146" w:rsidP="009F6146">
      <w:pPr>
        <w:spacing w:after="0"/>
        <w:jc w:val="both"/>
      </w:pPr>
      <w:r>
        <w:t xml:space="preserve">Obveze za nabavu nefinancijske imovine odnose se na obveze za nabavu zemljišta u iznosu 6.578.482 kn, licenca u iznosu 5.350.471 kn, građevinskih objekata (komunalna infrastruktura, objekti uprave, školstva, sporta, kulture i dr. poslovni objekti) u iznosu 146.032.945 kn, postrojenja i opreme  u iznosu 816.741 kn, nematerijalne proizvedene imovine u iznosu 2.362.211 kn te na obveze za dodatna ulaganja na građevinskim objektima u iznosu  32.499.401 kn. </w:t>
      </w:r>
    </w:p>
    <w:p w:rsidR="009F6146" w:rsidRDefault="009F6146" w:rsidP="009F6146">
      <w:pPr>
        <w:spacing w:after="0"/>
        <w:jc w:val="both"/>
      </w:pPr>
    </w:p>
    <w:p w:rsidR="009F6146" w:rsidRDefault="009F6146" w:rsidP="009F6146">
      <w:pPr>
        <w:jc w:val="both"/>
      </w:pPr>
      <w:r w:rsidRPr="00F74773">
        <w:rPr>
          <w:b/>
        </w:rPr>
        <w:t>Bilješka br. 20</w:t>
      </w:r>
      <w:r w:rsidRPr="00F74773">
        <w:t xml:space="preserve"> – </w:t>
      </w:r>
      <w:r w:rsidRPr="00F74773">
        <w:rPr>
          <w:b/>
        </w:rPr>
        <w:t>AOP 198 Obveze za kredite i zajmove</w:t>
      </w:r>
      <w:r>
        <w:t xml:space="preserve"> </w:t>
      </w:r>
    </w:p>
    <w:p w:rsidR="00FA75D6" w:rsidRDefault="009F6146" w:rsidP="009F6146">
      <w:pPr>
        <w:jc w:val="both"/>
      </w:pPr>
      <w:r>
        <w:t xml:space="preserve">Obveze za kredite i zajmove povećane su za 33,1% u odnosu na stanje prethodne godine odnosno za 628.296.002 kn. </w:t>
      </w:r>
    </w:p>
    <w:p w:rsidR="009F6146" w:rsidRPr="00FA5BC5" w:rsidRDefault="009F6146" w:rsidP="009F6146">
      <w:pPr>
        <w:jc w:val="both"/>
        <w:rPr>
          <w:b/>
        </w:rPr>
      </w:pPr>
      <w:r w:rsidRPr="00F74773">
        <w:rPr>
          <w:b/>
        </w:rPr>
        <w:t xml:space="preserve">Bilješka br. 21 – AOP 203 Obveze za </w:t>
      </w:r>
      <w:r w:rsidRPr="00F74773">
        <w:rPr>
          <w:b/>
          <w:color w:val="000000"/>
          <w:shd w:val="clear" w:color="auto" w:fill="FFFFFF"/>
        </w:rPr>
        <w:t>zajmove od trgovačkih društava u javnom sektoru</w:t>
      </w:r>
    </w:p>
    <w:p w:rsidR="009F6146" w:rsidRDefault="009F6146" w:rsidP="009F6146">
      <w:pPr>
        <w:jc w:val="both"/>
        <w:rPr>
          <w:color w:val="000000"/>
          <w:shd w:val="clear" w:color="auto" w:fill="FFFFFF"/>
        </w:rPr>
      </w:pPr>
      <w:r w:rsidRPr="003D2F43">
        <w:rPr>
          <w:color w:val="000000"/>
          <w:shd w:val="clear" w:color="auto" w:fill="FFFFFF"/>
        </w:rPr>
        <w:t>U 2020. godini evidentirane su obveze za zajmove od trgovačkih društava u javnom sektoru temeljem sklopljenih Sporazuma o otplati duga Zagrebačkom holdingu (podružnicama) kojim se regulirao način otplate dospjelih dugovanja temeljem sklopljenih pravnih poslova u iznosu od 130.962.800  kn.</w:t>
      </w:r>
    </w:p>
    <w:p w:rsidR="00F7108F" w:rsidRPr="003D2F43" w:rsidRDefault="00F7108F" w:rsidP="009F6146">
      <w:pPr>
        <w:jc w:val="both"/>
        <w:rPr>
          <w:color w:val="000000"/>
          <w:shd w:val="clear" w:color="auto" w:fill="FFFFFF"/>
        </w:rPr>
      </w:pPr>
    </w:p>
    <w:p w:rsidR="009F6146" w:rsidRPr="00FA5BC5" w:rsidRDefault="009F6146" w:rsidP="009F6146">
      <w:pPr>
        <w:jc w:val="both"/>
        <w:rPr>
          <w:b/>
        </w:rPr>
      </w:pPr>
      <w:r w:rsidRPr="00F74773">
        <w:rPr>
          <w:b/>
        </w:rPr>
        <w:t>Bilješka br. 22 – AOP 204 Obveze za kredite od tuzemnih kreditnih institucija izvan javnog sektora</w:t>
      </w:r>
    </w:p>
    <w:p w:rsidR="009F6146" w:rsidRDefault="009F6146" w:rsidP="009F6146">
      <w:pPr>
        <w:jc w:val="both"/>
      </w:pPr>
      <w:r>
        <w:t>Obveza za kredite od tuzemnih kreditnih institucija izvan javnog sektora iznose:</w:t>
      </w:r>
    </w:p>
    <w:tbl>
      <w:tblPr>
        <w:tblW w:w="9314" w:type="dxa"/>
        <w:jc w:val="center"/>
        <w:tblLook w:val="04A0" w:firstRow="1" w:lastRow="0" w:firstColumn="1" w:lastColumn="0" w:noHBand="0" w:noVBand="1"/>
      </w:tblPr>
      <w:tblGrid>
        <w:gridCol w:w="628"/>
        <w:gridCol w:w="2835"/>
        <w:gridCol w:w="1508"/>
        <w:gridCol w:w="1338"/>
        <w:gridCol w:w="1497"/>
        <w:gridCol w:w="1508"/>
      </w:tblGrid>
      <w:tr w:rsidR="009F6146" w:rsidRPr="00D57945" w:rsidTr="009F6146">
        <w:trPr>
          <w:trHeight w:val="900"/>
          <w:jc w:val="center"/>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146" w:rsidRPr="00D57945" w:rsidRDefault="009F6146" w:rsidP="009F6146">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lastRenderedPageBreak/>
              <w:t>Red. br.</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F6146" w:rsidRPr="00D57945" w:rsidRDefault="009F6146" w:rsidP="009F6146">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 xml:space="preserve">Banka </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rsidR="009F6146" w:rsidRPr="00D57945" w:rsidRDefault="009F6146" w:rsidP="009F6146">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Stanje 01.01.</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9F6146" w:rsidRPr="00D57945" w:rsidRDefault="009F6146" w:rsidP="009F6146">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Otplate glavnice</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9F6146" w:rsidRPr="00D57945" w:rsidRDefault="009F6146" w:rsidP="009F6146">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Krediti i zajmovi u 20</w:t>
            </w:r>
            <w:r>
              <w:rPr>
                <w:rFonts w:ascii="Calibri" w:eastAsia="Times New Roman" w:hAnsi="Calibri" w:cs="Calibri"/>
                <w:b/>
                <w:bCs/>
                <w:color w:val="000000"/>
                <w:lang w:eastAsia="hr-HR"/>
              </w:rPr>
              <w:t>20</w:t>
            </w:r>
            <w:r w:rsidRPr="00D57945">
              <w:rPr>
                <w:rFonts w:ascii="Calibri" w:eastAsia="Times New Roman" w:hAnsi="Calibri" w:cs="Calibri"/>
                <w:b/>
                <w:bCs/>
                <w:color w:val="000000"/>
                <w:lang w:eastAsia="hr-HR"/>
              </w:rPr>
              <w:t>.</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rsidR="009F6146" w:rsidRPr="00D57945" w:rsidRDefault="009F6146" w:rsidP="009F6146">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Stanje obveza 31.12.</w:t>
            </w:r>
            <w:r>
              <w:rPr>
                <w:rFonts w:ascii="Calibri" w:eastAsia="Times New Roman" w:hAnsi="Calibri" w:cs="Calibri"/>
                <w:b/>
                <w:bCs/>
                <w:color w:val="000000"/>
                <w:lang w:eastAsia="hr-HR"/>
              </w:rPr>
              <w:t>20.</w:t>
            </w:r>
          </w:p>
        </w:tc>
      </w:tr>
      <w:tr w:rsidR="009F6146" w:rsidRPr="00D57945" w:rsidTr="009F6146">
        <w:trPr>
          <w:trHeight w:val="300"/>
          <w:jc w:val="center"/>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center"/>
              <w:rPr>
                <w:rFonts w:ascii="Calibri" w:eastAsia="Times New Roman" w:hAnsi="Calibri" w:cs="Calibri"/>
                <w:color w:val="000000"/>
                <w:lang w:eastAsia="hr-HR"/>
              </w:rPr>
            </w:pPr>
            <w:r w:rsidRPr="00361816">
              <w:rPr>
                <w:rFonts w:ascii="Calibri" w:eastAsia="Times New Roman" w:hAnsi="Calibri" w:cs="Calibri"/>
                <w:color w:val="000000"/>
                <w:lang w:eastAsia="hr-HR"/>
              </w:rPr>
              <w:t>1</w:t>
            </w:r>
          </w:p>
        </w:tc>
        <w:tc>
          <w:tcPr>
            <w:tcW w:w="2835"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xml:space="preserve">Zagrebačka banka </w:t>
            </w:r>
            <w:r w:rsidRPr="00361816">
              <w:rPr>
                <w:rFonts w:ascii="Calibri" w:eastAsia="Times New Roman" w:hAnsi="Calibri" w:cs="Calibri"/>
                <w:color w:val="000000"/>
                <w:sz w:val="16"/>
                <w:szCs w:val="16"/>
                <w:lang w:eastAsia="hr-HR"/>
              </w:rPr>
              <w:t>(5100337866)</w:t>
            </w:r>
          </w:p>
        </w:tc>
        <w:tc>
          <w:tcPr>
            <w:tcW w:w="1508"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305.680.216</w:t>
            </w:r>
          </w:p>
        </w:tc>
        <w:tc>
          <w:tcPr>
            <w:tcW w:w="133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67.344.020</w:t>
            </w:r>
          </w:p>
        </w:tc>
        <w:tc>
          <w:tcPr>
            <w:tcW w:w="1497"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w:t>
            </w:r>
          </w:p>
        </w:tc>
        <w:tc>
          <w:tcPr>
            <w:tcW w:w="150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238.336.195</w:t>
            </w:r>
          </w:p>
        </w:tc>
      </w:tr>
      <w:tr w:rsidR="009F6146" w:rsidRPr="00D57945" w:rsidTr="009F6146">
        <w:trPr>
          <w:trHeight w:val="300"/>
          <w:jc w:val="center"/>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center"/>
              <w:rPr>
                <w:rFonts w:ascii="Calibri" w:eastAsia="Times New Roman" w:hAnsi="Calibri" w:cs="Calibri"/>
                <w:color w:val="000000"/>
                <w:lang w:eastAsia="hr-HR"/>
              </w:rPr>
            </w:pPr>
            <w:r w:rsidRPr="00361816">
              <w:rPr>
                <w:rFonts w:ascii="Calibri" w:eastAsia="Times New Roman" w:hAnsi="Calibri" w:cs="Calibri"/>
                <w:color w:val="000000"/>
                <w:lang w:eastAsia="hr-HR"/>
              </w:rPr>
              <w:t>2</w:t>
            </w:r>
          </w:p>
        </w:tc>
        <w:tc>
          <w:tcPr>
            <w:tcW w:w="2835"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xml:space="preserve">Privredna banka </w:t>
            </w:r>
            <w:r w:rsidRPr="00361816">
              <w:rPr>
                <w:rFonts w:ascii="Calibri" w:eastAsia="Times New Roman" w:hAnsi="Calibri" w:cs="Calibri"/>
                <w:color w:val="000000"/>
                <w:sz w:val="16"/>
                <w:szCs w:val="16"/>
                <w:lang w:eastAsia="hr-HR"/>
              </w:rPr>
              <w:t>(5110185865)</w:t>
            </w:r>
          </w:p>
        </w:tc>
        <w:tc>
          <w:tcPr>
            <w:tcW w:w="1508"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166.385.457</w:t>
            </w:r>
          </w:p>
        </w:tc>
        <w:tc>
          <w:tcPr>
            <w:tcW w:w="133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37.235.450</w:t>
            </w:r>
          </w:p>
        </w:tc>
        <w:tc>
          <w:tcPr>
            <w:tcW w:w="1497"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w:t>
            </w:r>
          </w:p>
        </w:tc>
        <w:tc>
          <w:tcPr>
            <w:tcW w:w="150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129.150.007</w:t>
            </w:r>
          </w:p>
        </w:tc>
      </w:tr>
      <w:tr w:rsidR="009F6146" w:rsidRPr="00D57945" w:rsidTr="009F6146">
        <w:trPr>
          <w:trHeight w:val="300"/>
          <w:jc w:val="center"/>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center"/>
              <w:rPr>
                <w:rFonts w:ascii="Calibri" w:eastAsia="Times New Roman" w:hAnsi="Calibri" w:cs="Calibri"/>
                <w:color w:val="000000"/>
                <w:lang w:eastAsia="hr-HR"/>
              </w:rPr>
            </w:pPr>
            <w:r w:rsidRPr="00361816">
              <w:rPr>
                <w:rFonts w:ascii="Calibri" w:eastAsia="Times New Roman" w:hAnsi="Calibri" w:cs="Calibri"/>
                <w:color w:val="000000"/>
                <w:lang w:eastAsia="hr-HR"/>
              </w:rPr>
              <w:t>3</w:t>
            </w:r>
          </w:p>
        </w:tc>
        <w:tc>
          <w:tcPr>
            <w:tcW w:w="2835"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xml:space="preserve">Zagrebačka banka </w:t>
            </w:r>
            <w:r w:rsidRPr="00361816">
              <w:rPr>
                <w:rFonts w:ascii="Calibri" w:eastAsia="Times New Roman" w:hAnsi="Calibri" w:cs="Calibri"/>
                <w:color w:val="000000"/>
                <w:sz w:val="16"/>
                <w:szCs w:val="16"/>
                <w:lang w:eastAsia="hr-HR"/>
              </w:rPr>
              <w:t>(5100480165)</w:t>
            </w:r>
          </w:p>
        </w:tc>
        <w:tc>
          <w:tcPr>
            <w:tcW w:w="1508"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50.904.764</w:t>
            </w:r>
          </w:p>
        </w:tc>
        <w:tc>
          <w:tcPr>
            <w:tcW w:w="133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50.904.764</w:t>
            </w:r>
          </w:p>
        </w:tc>
        <w:tc>
          <w:tcPr>
            <w:tcW w:w="1497"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w:t>
            </w:r>
          </w:p>
        </w:tc>
        <w:tc>
          <w:tcPr>
            <w:tcW w:w="150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0</w:t>
            </w:r>
          </w:p>
        </w:tc>
      </w:tr>
      <w:tr w:rsidR="009F6146" w:rsidRPr="00D57945" w:rsidTr="009F6146">
        <w:trPr>
          <w:trHeight w:val="300"/>
          <w:jc w:val="center"/>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center"/>
              <w:rPr>
                <w:rFonts w:ascii="Calibri" w:eastAsia="Times New Roman" w:hAnsi="Calibri" w:cs="Calibri"/>
                <w:color w:val="000000"/>
                <w:lang w:eastAsia="hr-HR"/>
              </w:rPr>
            </w:pPr>
            <w:r w:rsidRPr="00361816">
              <w:rPr>
                <w:rFonts w:ascii="Calibri" w:eastAsia="Times New Roman" w:hAnsi="Calibri" w:cs="Calibri"/>
                <w:color w:val="000000"/>
                <w:lang w:eastAsia="hr-HR"/>
              </w:rPr>
              <w:t>4</w:t>
            </w:r>
          </w:p>
        </w:tc>
        <w:tc>
          <w:tcPr>
            <w:tcW w:w="2835" w:type="dxa"/>
            <w:tcBorders>
              <w:top w:val="nil"/>
              <w:left w:val="nil"/>
              <w:bottom w:val="single" w:sz="4" w:space="0" w:color="auto"/>
              <w:right w:val="single" w:sz="4" w:space="0" w:color="auto"/>
            </w:tcBorders>
            <w:shd w:val="clear" w:color="auto" w:fill="auto"/>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xml:space="preserve">Erste </w:t>
            </w:r>
            <w:proofErr w:type="spellStart"/>
            <w:r w:rsidRPr="00361816">
              <w:rPr>
                <w:rFonts w:ascii="Calibri" w:eastAsia="Times New Roman" w:hAnsi="Calibri" w:cs="Calibri"/>
                <w:color w:val="000000"/>
                <w:lang w:eastAsia="hr-HR"/>
              </w:rPr>
              <w:t>bank</w:t>
            </w:r>
            <w:proofErr w:type="spellEnd"/>
            <w:r w:rsidRPr="00361816">
              <w:rPr>
                <w:rFonts w:ascii="Calibri" w:eastAsia="Times New Roman" w:hAnsi="Calibri" w:cs="Calibri"/>
                <w:color w:val="000000"/>
                <w:sz w:val="16"/>
                <w:szCs w:val="16"/>
                <w:lang w:eastAsia="hr-HR"/>
              </w:rPr>
              <w:t xml:space="preserve"> (5114216740)</w:t>
            </w:r>
          </w:p>
        </w:tc>
        <w:tc>
          <w:tcPr>
            <w:tcW w:w="1508"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97.789.430</w:t>
            </w:r>
          </w:p>
        </w:tc>
        <w:tc>
          <w:tcPr>
            <w:tcW w:w="133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46.392.097</w:t>
            </w:r>
          </w:p>
        </w:tc>
        <w:tc>
          <w:tcPr>
            <w:tcW w:w="1497" w:type="dxa"/>
            <w:tcBorders>
              <w:top w:val="nil"/>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w:t>
            </w:r>
          </w:p>
        </w:tc>
        <w:tc>
          <w:tcPr>
            <w:tcW w:w="150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51.397.333</w:t>
            </w:r>
          </w:p>
        </w:tc>
      </w:tr>
      <w:tr w:rsidR="009F6146" w:rsidRPr="00D57945" w:rsidTr="009F6146">
        <w:trPr>
          <w:trHeight w:val="300"/>
          <w:jc w:val="center"/>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center"/>
              <w:rPr>
                <w:rFonts w:ascii="Calibri" w:eastAsia="Times New Roman" w:hAnsi="Calibri" w:cs="Calibri"/>
                <w:color w:val="000000"/>
                <w:lang w:eastAsia="hr-HR"/>
              </w:rPr>
            </w:pPr>
            <w:r w:rsidRPr="00361816">
              <w:rPr>
                <w:rFonts w:ascii="Calibri" w:eastAsia="Times New Roman" w:hAnsi="Calibri" w:cs="Calibri"/>
                <w:color w:val="000000"/>
                <w:lang w:eastAsia="hr-HR"/>
              </w:rPr>
              <w:t>5</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xml:space="preserve">Erste </w:t>
            </w:r>
            <w:proofErr w:type="spellStart"/>
            <w:r w:rsidRPr="00361816">
              <w:rPr>
                <w:rFonts w:ascii="Calibri" w:eastAsia="Times New Roman" w:hAnsi="Calibri" w:cs="Calibri"/>
                <w:color w:val="000000"/>
                <w:lang w:eastAsia="hr-HR"/>
              </w:rPr>
              <w:t>bank</w:t>
            </w:r>
            <w:proofErr w:type="spellEnd"/>
            <w:r w:rsidRPr="00361816">
              <w:rPr>
                <w:rFonts w:ascii="Calibri" w:eastAsia="Times New Roman" w:hAnsi="Calibri" w:cs="Calibri"/>
                <w:color w:val="000000"/>
                <w:sz w:val="16"/>
                <w:szCs w:val="16"/>
                <w:lang w:eastAsia="hr-HR"/>
              </w:rPr>
              <w:t xml:space="preserve"> (5000739943)</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150.000.000</w:t>
            </w:r>
          </w:p>
        </w:tc>
        <w:tc>
          <w:tcPr>
            <w:tcW w:w="1338" w:type="dxa"/>
            <w:tcBorders>
              <w:top w:val="single" w:sz="4" w:space="0" w:color="auto"/>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50.000.000</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w:t>
            </w:r>
          </w:p>
        </w:tc>
        <w:tc>
          <w:tcPr>
            <w:tcW w:w="1508" w:type="dxa"/>
            <w:tcBorders>
              <w:top w:val="single" w:sz="4" w:space="0" w:color="auto"/>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100.000.000</w:t>
            </w:r>
          </w:p>
        </w:tc>
      </w:tr>
      <w:tr w:rsidR="009F6146" w:rsidRPr="00D57945" w:rsidTr="009F6146">
        <w:trPr>
          <w:trHeight w:val="300"/>
          <w:jc w:val="center"/>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center"/>
              <w:rPr>
                <w:rFonts w:ascii="Calibri" w:eastAsia="Times New Roman" w:hAnsi="Calibri" w:cs="Calibri"/>
                <w:color w:val="000000"/>
                <w:lang w:eastAsia="hr-HR"/>
              </w:rPr>
            </w:pPr>
            <w:r w:rsidRPr="00361816">
              <w:rPr>
                <w:rFonts w:ascii="Calibri" w:eastAsia="Times New Roman" w:hAnsi="Calibri" w:cs="Calibri"/>
                <w:color w:val="000000"/>
                <w:lang w:eastAsia="hr-HR"/>
              </w:rPr>
              <w:t>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Zagrebačka banka</w:t>
            </w:r>
            <w:r w:rsidRPr="00361816">
              <w:rPr>
                <w:rFonts w:ascii="Calibri" w:eastAsia="Times New Roman" w:hAnsi="Calibri" w:cs="Calibri"/>
                <w:color w:val="000000"/>
                <w:sz w:val="16"/>
                <w:szCs w:val="16"/>
                <w:lang w:eastAsia="hr-HR"/>
              </w:rPr>
              <w:t xml:space="preserve"> (5100465366)</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187.500.000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62.500.000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125.000.000</w:t>
            </w:r>
          </w:p>
        </w:tc>
      </w:tr>
      <w:tr w:rsidR="009F6146" w:rsidRPr="00D57945" w:rsidTr="009F6146">
        <w:trPr>
          <w:trHeight w:val="300"/>
          <w:jc w:val="center"/>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146" w:rsidRPr="00D57945" w:rsidRDefault="009F6146" w:rsidP="009F614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rPr>
                <w:rFonts w:ascii="Calibri" w:eastAsia="Times New Roman" w:hAnsi="Calibri" w:cs="Calibri"/>
                <w:color w:val="000000"/>
                <w:lang w:eastAsia="hr-HR"/>
              </w:rPr>
            </w:pPr>
            <w:r w:rsidRPr="00361816">
              <w:rPr>
                <w:rFonts w:ascii="Calibri" w:eastAsia="Times New Roman" w:hAnsi="Calibri" w:cs="Calibri"/>
                <w:color w:val="000000"/>
                <w:lang w:eastAsia="hr-HR"/>
              </w:rPr>
              <w:t xml:space="preserve">Zagrebačka banka </w:t>
            </w:r>
            <w:r w:rsidRPr="00361816">
              <w:rPr>
                <w:rFonts w:ascii="Calibri" w:eastAsia="Times New Roman" w:hAnsi="Calibri" w:cs="Calibri"/>
                <w:color w:val="000000"/>
                <w:sz w:val="16"/>
                <w:szCs w:val="16"/>
                <w:lang w:eastAsia="hr-HR"/>
              </w:rPr>
              <w:t>(5100489092)</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250.000.000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62.500.000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color w:val="000000"/>
                <w:lang w:eastAsia="hr-HR"/>
              </w:rPr>
            </w:pPr>
            <w:r w:rsidRPr="00361816">
              <w:rPr>
                <w:rFonts w:ascii="Calibri" w:eastAsia="Times New Roman" w:hAnsi="Calibri" w:cs="Calibri"/>
                <w:color w:val="000000"/>
                <w:lang w:eastAsia="hr-HR"/>
              </w:rPr>
              <w:t>187.500.000</w:t>
            </w:r>
          </w:p>
        </w:tc>
      </w:tr>
      <w:tr w:rsidR="009F6146" w:rsidRPr="00D57945" w:rsidTr="009F6146">
        <w:trPr>
          <w:trHeight w:val="300"/>
          <w:jc w:val="center"/>
        </w:trPr>
        <w:tc>
          <w:tcPr>
            <w:tcW w:w="628" w:type="dxa"/>
            <w:tcBorders>
              <w:top w:val="nil"/>
              <w:left w:val="single" w:sz="4" w:space="0" w:color="auto"/>
              <w:bottom w:val="single" w:sz="4" w:space="0" w:color="auto"/>
              <w:right w:val="single" w:sz="4" w:space="0" w:color="auto"/>
            </w:tcBorders>
            <w:shd w:val="clear" w:color="auto" w:fill="auto"/>
            <w:noWrap/>
            <w:vAlign w:val="bottom"/>
          </w:tcPr>
          <w:p w:rsidR="009F6146" w:rsidRPr="00D57945" w:rsidRDefault="009F6146" w:rsidP="009F614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8</w:t>
            </w:r>
          </w:p>
        </w:tc>
        <w:tc>
          <w:tcPr>
            <w:tcW w:w="2835"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rPr>
                <w:rFonts w:ascii="Calibri" w:eastAsia="Times New Roman" w:hAnsi="Calibri" w:cs="Calibri"/>
                <w:bCs/>
                <w:color w:val="000000"/>
                <w:lang w:eastAsia="hr-HR"/>
              </w:rPr>
            </w:pPr>
            <w:r w:rsidRPr="00361816">
              <w:rPr>
                <w:rFonts w:ascii="Calibri" w:eastAsia="Times New Roman" w:hAnsi="Calibri" w:cs="Calibri"/>
                <w:bCs/>
                <w:color w:val="000000"/>
                <w:lang w:eastAsia="hr-HR"/>
              </w:rPr>
              <w:t xml:space="preserve">Privredna banka </w:t>
            </w:r>
            <w:r w:rsidRPr="00361816">
              <w:rPr>
                <w:rFonts w:ascii="Calibri" w:eastAsia="Times New Roman" w:hAnsi="Calibri" w:cs="Calibri"/>
                <w:bCs/>
                <w:color w:val="000000"/>
                <w:sz w:val="16"/>
                <w:szCs w:val="16"/>
                <w:lang w:eastAsia="hr-HR"/>
              </w:rPr>
              <w:t>(5010724713)</w:t>
            </w:r>
          </w:p>
        </w:tc>
        <w:tc>
          <w:tcPr>
            <w:tcW w:w="150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b/>
                <w:bCs/>
                <w:color w:val="000000"/>
                <w:lang w:eastAsia="hr-HR"/>
              </w:rPr>
            </w:pPr>
            <w:r w:rsidRPr="00361816">
              <w:rPr>
                <w:rFonts w:ascii="Calibri" w:eastAsia="Times New Roman" w:hAnsi="Calibri" w:cs="Calibri"/>
                <w:bCs/>
                <w:color w:val="000000"/>
                <w:lang w:eastAsia="hr-HR"/>
              </w:rPr>
              <w:t>300.000.000</w:t>
            </w:r>
          </w:p>
        </w:tc>
        <w:tc>
          <w:tcPr>
            <w:tcW w:w="133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b/>
                <w:bCs/>
                <w:color w:val="000000"/>
                <w:lang w:eastAsia="hr-HR"/>
              </w:rPr>
            </w:pPr>
          </w:p>
        </w:tc>
        <w:tc>
          <w:tcPr>
            <w:tcW w:w="1497"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bCs/>
                <w:color w:val="000000"/>
                <w:lang w:eastAsia="hr-HR"/>
              </w:rPr>
            </w:pPr>
          </w:p>
        </w:tc>
        <w:tc>
          <w:tcPr>
            <w:tcW w:w="150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bCs/>
                <w:color w:val="000000"/>
                <w:lang w:eastAsia="hr-HR"/>
              </w:rPr>
            </w:pPr>
            <w:r w:rsidRPr="00361816">
              <w:rPr>
                <w:rFonts w:ascii="Calibri" w:eastAsia="Times New Roman" w:hAnsi="Calibri" w:cs="Calibri"/>
                <w:bCs/>
                <w:color w:val="000000"/>
                <w:lang w:eastAsia="hr-HR"/>
              </w:rPr>
              <w:t>300.000.000</w:t>
            </w:r>
          </w:p>
        </w:tc>
      </w:tr>
      <w:tr w:rsidR="009F6146" w:rsidRPr="00D57945" w:rsidTr="009F6146">
        <w:trPr>
          <w:trHeight w:val="300"/>
          <w:jc w:val="center"/>
        </w:trPr>
        <w:tc>
          <w:tcPr>
            <w:tcW w:w="628" w:type="dxa"/>
            <w:tcBorders>
              <w:top w:val="nil"/>
              <w:left w:val="single" w:sz="4" w:space="0" w:color="auto"/>
              <w:bottom w:val="single" w:sz="4" w:space="0" w:color="auto"/>
              <w:right w:val="single" w:sz="4" w:space="0" w:color="auto"/>
            </w:tcBorders>
            <w:shd w:val="clear" w:color="auto" w:fill="auto"/>
            <w:noWrap/>
            <w:vAlign w:val="bottom"/>
          </w:tcPr>
          <w:p w:rsidR="009F6146" w:rsidRDefault="009F6146" w:rsidP="009F614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9</w:t>
            </w:r>
          </w:p>
        </w:tc>
        <w:tc>
          <w:tcPr>
            <w:tcW w:w="2835"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rPr>
                <w:rFonts w:ascii="Calibri" w:eastAsia="Times New Roman" w:hAnsi="Calibri" w:cs="Calibri"/>
                <w:bCs/>
                <w:color w:val="000000"/>
                <w:lang w:eastAsia="hr-HR"/>
              </w:rPr>
            </w:pPr>
            <w:r>
              <w:rPr>
                <w:rFonts w:ascii="Calibri" w:eastAsia="Times New Roman" w:hAnsi="Calibri" w:cs="Calibri"/>
                <w:bCs/>
                <w:color w:val="000000"/>
                <w:lang w:eastAsia="hr-HR"/>
              </w:rPr>
              <w:t>Klub banaka</w:t>
            </w:r>
          </w:p>
        </w:tc>
        <w:tc>
          <w:tcPr>
            <w:tcW w:w="150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bCs/>
                <w:color w:val="000000"/>
                <w:lang w:eastAsia="hr-HR"/>
              </w:rPr>
            </w:pPr>
          </w:p>
        </w:tc>
        <w:tc>
          <w:tcPr>
            <w:tcW w:w="133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b/>
                <w:bCs/>
                <w:color w:val="000000"/>
                <w:lang w:eastAsia="hr-HR"/>
              </w:rPr>
            </w:pPr>
          </w:p>
        </w:tc>
        <w:tc>
          <w:tcPr>
            <w:tcW w:w="1497"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bCs/>
                <w:color w:val="000000"/>
                <w:lang w:eastAsia="hr-HR"/>
              </w:rPr>
            </w:pPr>
            <w:r w:rsidRPr="00361816">
              <w:rPr>
                <w:rFonts w:ascii="Calibri" w:eastAsia="Times New Roman" w:hAnsi="Calibri" w:cs="Calibri"/>
                <w:bCs/>
                <w:color w:val="000000"/>
                <w:lang w:eastAsia="hr-HR"/>
              </w:rPr>
              <w:t>287.840.000</w:t>
            </w:r>
          </w:p>
        </w:tc>
        <w:tc>
          <w:tcPr>
            <w:tcW w:w="1508" w:type="dxa"/>
            <w:tcBorders>
              <w:top w:val="nil"/>
              <w:left w:val="nil"/>
              <w:bottom w:val="single" w:sz="4" w:space="0" w:color="auto"/>
              <w:right w:val="single" w:sz="4" w:space="0" w:color="auto"/>
            </w:tcBorders>
            <w:shd w:val="clear" w:color="auto" w:fill="auto"/>
            <w:noWrap/>
            <w:vAlign w:val="bottom"/>
          </w:tcPr>
          <w:p w:rsidR="009F6146" w:rsidRPr="00361816" w:rsidRDefault="009F6146" w:rsidP="009F6146">
            <w:pPr>
              <w:spacing w:after="0" w:line="240" w:lineRule="auto"/>
              <w:jc w:val="right"/>
              <w:rPr>
                <w:rFonts w:ascii="Calibri" w:eastAsia="Times New Roman" w:hAnsi="Calibri" w:cs="Calibri"/>
                <w:bCs/>
                <w:color w:val="000000"/>
                <w:lang w:eastAsia="hr-HR"/>
              </w:rPr>
            </w:pPr>
            <w:r w:rsidRPr="00361816">
              <w:rPr>
                <w:rFonts w:ascii="Calibri" w:eastAsia="Times New Roman" w:hAnsi="Calibri" w:cs="Calibri"/>
                <w:bCs/>
                <w:color w:val="000000"/>
                <w:lang w:eastAsia="hr-HR"/>
              </w:rPr>
              <w:t>287.840.000</w:t>
            </w:r>
          </w:p>
        </w:tc>
      </w:tr>
      <w:tr w:rsidR="009F6146" w:rsidRPr="00D57945" w:rsidTr="009F6146">
        <w:trPr>
          <w:trHeight w:val="300"/>
          <w:jc w:val="center"/>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F6146" w:rsidRPr="00D57945" w:rsidRDefault="009F6146" w:rsidP="009F6146">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2835" w:type="dxa"/>
            <w:tcBorders>
              <w:top w:val="nil"/>
              <w:left w:val="nil"/>
              <w:bottom w:val="single" w:sz="4" w:space="0" w:color="auto"/>
              <w:right w:val="single" w:sz="4" w:space="0" w:color="auto"/>
            </w:tcBorders>
            <w:shd w:val="clear" w:color="auto" w:fill="auto"/>
            <w:noWrap/>
            <w:vAlign w:val="bottom"/>
            <w:hideMark/>
          </w:tcPr>
          <w:p w:rsidR="009F6146" w:rsidRPr="00D57945" w:rsidRDefault="009F6146" w:rsidP="009F6146">
            <w:pPr>
              <w:spacing w:after="0" w:line="240" w:lineRule="auto"/>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UKUPNO</w:t>
            </w:r>
          </w:p>
        </w:tc>
        <w:tc>
          <w:tcPr>
            <w:tcW w:w="1508" w:type="dxa"/>
            <w:tcBorders>
              <w:top w:val="nil"/>
              <w:left w:val="nil"/>
              <w:bottom w:val="single" w:sz="4" w:space="0" w:color="auto"/>
              <w:right w:val="single" w:sz="4" w:space="0" w:color="auto"/>
            </w:tcBorders>
            <w:shd w:val="clear" w:color="auto" w:fill="auto"/>
            <w:noWrap/>
            <w:vAlign w:val="bottom"/>
          </w:tcPr>
          <w:p w:rsidR="009F6146" w:rsidRPr="00D57945" w:rsidRDefault="009F6146" w:rsidP="009F6146">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1.508.259.867</w:t>
            </w:r>
          </w:p>
        </w:tc>
        <w:tc>
          <w:tcPr>
            <w:tcW w:w="1338" w:type="dxa"/>
            <w:tcBorders>
              <w:top w:val="nil"/>
              <w:left w:val="nil"/>
              <w:bottom w:val="single" w:sz="4" w:space="0" w:color="auto"/>
              <w:right w:val="single" w:sz="4" w:space="0" w:color="auto"/>
            </w:tcBorders>
            <w:shd w:val="clear" w:color="auto" w:fill="auto"/>
            <w:noWrap/>
            <w:vAlign w:val="bottom"/>
          </w:tcPr>
          <w:p w:rsidR="009F6146" w:rsidRPr="00D57945" w:rsidRDefault="009F6146" w:rsidP="009F6146">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376.876.332</w:t>
            </w:r>
          </w:p>
        </w:tc>
        <w:tc>
          <w:tcPr>
            <w:tcW w:w="1497" w:type="dxa"/>
            <w:tcBorders>
              <w:top w:val="nil"/>
              <w:left w:val="nil"/>
              <w:bottom w:val="single" w:sz="4" w:space="0" w:color="auto"/>
              <w:right w:val="single" w:sz="4" w:space="0" w:color="auto"/>
            </w:tcBorders>
            <w:shd w:val="clear" w:color="auto" w:fill="auto"/>
            <w:noWrap/>
            <w:vAlign w:val="bottom"/>
          </w:tcPr>
          <w:p w:rsidR="009F6146" w:rsidRPr="00D57945" w:rsidRDefault="009F6146" w:rsidP="009F6146">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287.840.000</w:t>
            </w:r>
          </w:p>
        </w:tc>
        <w:tc>
          <w:tcPr>
            <w:tcW w:w="1508" w:type="dxa"/>
            <w:tcBorders>
              <w:top w:val="nil"/>
              <w:left w:val="nil"/>
              <w:bottom w:val="single" w:sz="4" w:space="0" w:color="auto"/>
              <w:right w:val="single" w:sz="4" w:space="0" w:color="auto"/>
            </w:tcBorders>
            <w:shd w:val="clear" w:color="auto" w:fill="auto"/>
            <w:noWrap/>
            <w:vAlign w:val="bottom"/>
          </w:tcPr>
          <w:p w:rsidR="009F6146" w:rsidRPr="00D57945" w:rsidRDefault="009F6146" w:rsidP="009F6146">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1.419.223.535</w:t>
            </w:r>
          </w:p>
        </w:tc>
      </w:tr>
    </w:tbl>
    <w:p w:rsidR="009F6146" w:rsidRDefault="009F6146" w:rsidP="009F6146">
      <w:pPr>
        <w:spacing w:after="0"/>
        <w:jc w:val="both"/>
      </w:pPr>
    </w:p>
    <w:p w:rsidR="009F6146" w:rsidRDefault="009F6146" w:rsidP="009F6146">
      <w:pPr>
        <w:jc w:val="both"/>
        <w:rPr>
          <w:color w:val="000000"/>
          <w:shd w:val="clear" w:color="auto" w:fill="FFFFFF"/>
        </w:rPr>
      </w:pPr>
      <w:r w:rsidRPr="00BE2CCD">
        <w:rPr>
          <w:color w:val="000000"/>
          <w:shd w:val="clear" w:color="auto" w:fill="FFFFFF"/>
        </w:rPr>
        <w:t xml:space="preserve">U 2020. godini Grad Zagreb kreditno se zadužio kod Kluba banaka kojeg čine: </w:t>
      </w:r>
      <w:proofErr w:type="spellStart"/>
      <w:r w:rsidRPr="00BE2CCD">
        <w:rPr>
          <w:color w:val="000000"/>
          <w:shd w:val="clear" w:color="auto" w:fill="FFFFFF"/>
        </w:rPr>
        <w:t>Erste&amp;Steiermärkische</w:t>
      </w:r>
      <w:proofErr w:type="spellEnd"/>
      <w:r w:rsidRPr="00BE2CCD">
        <w:rPr>
          <w:color w:val="000000"/>
          <w:shd w:val="clear" w:color="auto" w:fill="FFFFFF"/>
        </w:rPr>
        <w:t xml:space="preserve"> Bank d.d. (Agent), OTP banka d.d., Zagrebačka banka d.d. i Privredna banka Zagreb d.d. u ukupnom iznosu od 287.840.000,00 kuna za financiranje investicijskih projekata i sanaciju objekata oštećenih u potresu u Gradu Zagrebu u 2020.</w:t>
      </w:r>
    </w:p>
    <w:p w:rsidR="00BE5F8A" w:rsidRDefault="00BE5F8A" w:rsidP="009F6146">
      <w:pPr>
        <w:jc w:val="both"/>
        <w:rPr>
          <w:color w:val="000000"/>
          <w:shd w:val="clear" w:color="auto" w:fill="FFFFFF"/>
        </w:rPr>
      </w:pPr>
    </w:p>
    <w:p w:rsidR="009F6146" w:rsidRPr="00FA5BC5" w:rsidRDefault="009F6146" w:rsidP="009F6146">
      <w:pPr>
        <w:jc w:val="both"/>
        <w:rPr>
          <w:b/>
        </w:rPr>
      </w:pPr>
      <w:r w:rsidRPr="00F74773">
        <w:rPr>
          <w:b/>
        </w:rPr>
        <w:t>Bilješka br. 23 – AOP 206 Obveze za zajmove od ostalih tuzemnih financijskih institucija izvan javnog</w:t>
      </w:r>
      <w:r w:rsidRPr="00FA5BC5">
        <w:rPr>
          <w:b/>
        </w:rPr>
        <w:t xml:space="preserve"> sektora</w:t>
      </w:r>
    </w:p>
    <w:p w:rsidR="009F6146" w:rsidRDefault="009F6146" w:rsidP="009F6146">
      <w:pPr>
        <w:spacing w:after="0"/>
        <w:jc w:val="both"/>
        <w:rPr>
          <w:color w:val="000000"/>
          <w:shd w:val="clear" w:color="auto" w:fill="FFFFFF"/>
        </w:rPr>
      </w:pPr>
      <w:r w:rsidRPr="00BE2CCD">
        <w:rPr>
          <w:color w:val="000000"/>
          <w:shd w:val="clear" w:color="auto" w:fill="FFFFFF"/>
        </w:rPr>
        <w:t xml:space="preserve">Primljeni zajmovi po </w:t>
      </w:r>
      <w:proofErr w:type="spellStart"/>
      <w:r w:rsidRPr="00BE2CCD">
        <w:rPr>
          <w:color w:val="000000"/>
          <w:shd w:val="clear" w:color="auto" w:fill="FFFFFF"/>
        </w:rPr>
        <w:t>faktoringu</w:t>
      </w:r>
      <w:proofErr w:type="spellEnd"/>
      <w:r w:rsidRPr="00BE2CCD">
        <w:rPr>
          <w:color w:val="000000"/>
          <w:shd w:val="clear" w:color="auto" w:fill="FFFFFF"/>
        </w:rPr>
        <w:t xml:space="preserve"> od tuzemnih kreditnih institucija izvan javnog sektora u iznosu od 462.085.315</w:t>
      </w:r>
      <w:r>
        <w:rPr>
          <w:color w:val="000000"/>
          <w:shd w:val="clear" w:color="auto" w:fill="FFFFFF"/>
        </w:rPr>
        <w:t xml:space="preserve"> </w:t>
      </w:r>
      <w:r w:rsidRPr="00BE2CCD">
        <w:rPr>
          <w:color w:val="000000"/>
          <w:shd w:val="clear" w:color="auto" w:fill="FFFFFF"/>
        </w:rPr>
        <w:t>kn odnose se na:</w:t>
      </w:r>
    </w:p>
    <w:p w:rsidR="009F6146" w:rsidRDefault="009F6146" w:rsidP="009F6146">
      <w:pPr>
        <w:spacing w:after="0"/>
        <w:jc w:val="both"/>
        <w:rPr>
          <w:color w:val="000000"/>
          <w:shd w:val="clear" w:color="auto" w:fill="FFFFFF"/>
        </w:rPr>
      </w:pPr>
      <w:r>
        <w:rPr>
          <w:color w:val="000000"/>
          <w:shd w:val="clear" w:color="auto" w:fill="FFFFFF"/>
        </w:rPr>
        <w:t xml:space="preserve">- </w:t>
      </w:r>
      <w:r w:rsidRPr="00BE2CCD">
        <w:rPr>
          <w:color w:val="000000"/>
          <w:shd w:val="clear" w:color="auto" w:fill="FFFFFF"/>
        </w:rPr>
        <w:t xml:space="preserve">Ugovor o cesiji – tuzemni </w:t>
      </w:r>
      <w:proofErr w:type="spellStart"/>
      <w:r w:rsidRPr="00BE2CCD">
        <w:rPr>
          <w:color w:val="000000"/>
          <w:shd w:val="clear" w:color="auto" w:fill="FFFFFF"/>
        </w:rPr>
        <w:t>bezregresni</w:t>
      </w:r>
      <w:proofErr w:type="spellEnd"/>
      <w:r w:rsidRPr="00BE2CCD">
        <w:rPr>
          <w:color w:val="000000"/>
          <w:shd w:val="clear" w:color="auto" w:fill="FFFFFF"/>
        </w:rPr>
        <w:t xml:space="preserve"> između </w:t>
      </w:r>
      <w:proofErr w:type="spellStart"/>
      <w:r w:rsidRPr="00BE2CCD">
        <w:rPr>
          <w:color w:val="000000"/>
          <w:shd w:val="clear" w:color="auto" w:fill="FFFFFF"/>
        </w:rPr>
        <w:t>Erste&amp;Steiermärkische</w:t>
      </w:r>
      <w:proofErr w:type="spellEnd"/>
      <w:r w:rsidRPr="00BE2CCD">
        <w:rPr>
          <w:color w:val="000000"/>
          <w:shd w:val="clear" w:color="auto" w:fill="FFFFFF"/>
        </w:rPr>
        <w:t xml:space="preserve"> Bank d.d., Zagrebačkog električnog tramvaja d.o.o. i Grada Zagreba u iznosu od 30.576.031</w:t>
      </w:r>
      <w:r>
        <w:rPr>
          <w:color w:val="000000"/>
          <w:shd w:val="clear" w:color="auto" w:fill="FFFFFF"/>
        </w:rPr>
        <w:t xml:space="preserve"> </w:t>
      </w:r>
      <w:r w:rsidRPr="00BE2CCD">
        <w:rPr>
          <w:color w:val="000000"/>
          <w:shd w:val="clear" w:color="auto" w:fill="FFFFFF"/>
        </w:rPr>
        <w:t>kn i Sporazum o obročnoj otplati duga između Zagrebačkog električnog tramvaja d.o.o. i Grada Zagreba</w:t>
      </w:r>
      <w:r>
        <w:rPr>
          <w:color w:val="000000"/>
          <w:shd w:val="clear" w:color="auto" w:fill="FFFFFF"/>
        </w:rPr>
        <w:t>,</w:t>
      </w:r>
    </w:p>
    <w:p w:rsidR="009F6146" w:rsidRPr="00BE2CCD" w:rsidRDefault="009F6146" w:rsidP="009F6146">
      <w:pPr>
        <w:spacing w:after="0"/>
        <w:jc w:val="both"/>
        <w:rPr>
          <w:color w:val="000000"/>
          <w:shd w:val="clear" w:color="auto" w:fill="FFFFFF"/>
        </w:rPr>
      </w:pPr>
      <w:r>
        <w:rPr>
          <w:color w:val="000000"/>
          <w:shd w:val="clear" w:color="auto" w:fill="FFFFFF"/>
        </w:rPr>
        <w:t xml:space="preserve">- </w:t>
      </w:r>
      <w:r w:rsidRPr="00BE2CCD">
        <w:rPr>
          <w:color w:val="000000"/>
          <w:shd w:val="clear" w:color="auto" w:fill="FFFFFF"/>
        </w:rPr>
        <w:t xml:space="preserve">Ugovor o cesiji – tuzemni </w:t>
      </w:r>
      <w:proofErr w:type="spellStart"/>
      <w:r w:rsidRPr="00BE2CCD">
        <w:rPr>
          <w:color w:val="000000"/>
          <w:shd w:val="clear" w:color="auto" w:fill="FFFFFF"/>
        </w:rPr>
        <w:t>bezregresni</w:t>
      </w:r>
      <w:proofErr w:type="spellEnd"/>
      <w:r w:rsidRPr="00BE2CCD">
        <w:rPr>
          <w:color w:val="000000"/>
          <w:shd w:val="clear" w:color="auto" w:fill="FFFFFF"/>
        </w:rPr>
        <w:t xml:space="preserve"> između </w:t>
      </w:r>
      <w:proofErr w:type="spellStart"/>
      <w:r w:rsidRPr="00BE2CCD">
        <w:rPr>
          <w:color w:val="000000"/>
          <w:shd w:val="clear" w:color="auto" w:fill="FFFFFF"/>
        </w:rPr>
        <w:t>Erste&amp;Steiermärkische</w:t>
      </w:r>
      <w:proofErr w:type="spellEnd"/>
      <w:r w:rsidRPr="00BE2CCD">
        <w:rPr>
          <w:color w:val="000000"/>
          <w:shd w:val="clear" w:color="auto" w:fill="FFFFFF"/>
        </w:rPr>
        <w:t xml:space="preserve"> Bank d.d., Zagrebačkog holdinga d.o.o. i Grada Zagreba i Sporazum o otplati duga 1-2020 između Zagrebačkog holdinga d.o.o. i Grada Zagreba u iznosu od 60.158.685</w:t>
      </w:r>
      <w:r>
        <w:rPr>
          <w:color w:val="000000"/>
          <w:shd w:val="clear" w:color="auto" w:fill="FFFFFF"/>
        </w:rPr>
        <w:t xml:space="preserve"> </w:t>
      </w:r>
      <w:r w:rsidRPr="00BE2CCD">
        <w:rPr>
          <w:color w:val="000000"/>
          <w:shd w:val="clear" w:color="auto" w:fill="FFFFFF"/>
        </w:rPr>
        <w:t>kn</w:t>
      </w:r>
      <w:r>
        <w:rPr>
          <w:color w:val="000000"/>
          <w:shd w:val="clear" w:color="auto" w:fill="FFFFFF"/>
        </w:rPr>
        <w:t>,</w:t>
      </w:r>
    </w:p>
    <w:p w:rsidR="009F6146" w:rsidRPr="00BE2CCD" w:rsidRDefault="009F6146" w:rsidP="009F6146">
      <w:pPr>
        <w:spacing w:after="0"/>
        <w:jc w:val="both"/>
        <w:rPr>
          <w:color w:val="000000"/>
          <w:shd w:val="clear" w:color="auto" w:fill="FFFFFF"/>
        </w:rPr>
      </w:pPr>
      <w:r>
        <w:rPr>
          <w:color w:val="000000"/>
          <w:shd w:val="clear" w:color="auto" w:fill="FFFFFF"/>
        </w:rPr>
        <w:t xml:space="preserve">- </w:t>
      </w:r>
      <w:r w:rsidRPr="00BE2CCD">
        <w:rPr>
          <w:color w:val="000000"/>
          <w:shd w:val="clear" w:color="auto" w:fill="FFFFFF"/>
        </w:rPr>
        <w:t>Ugovor o otkupu potraživanja/ustupanju tražbina – obična cesija između OTP banke d.d., Zagrebačkog holdinga d.o.o. i Grada Zagreba i Sporazum o otplati duga 3-2020 između Zagrebačkog holdinga d.o.o. i Grada Zagreba u iznosu od 150.040.381</w:t>
      </w:r>
      <w:r>
        <w:rPr>
          <w:color w:val="000000"/>
          <w:shd w:val="clear" w:color="auto" w:fill="FFFFFF"/>
        </w:rPr>
        <w:t xml:space="preserve"> </w:t>
      </w:r>
      <w:r w:rsidRPr="00BE2CCD">
        <w:rPr>
          <w:color w:val="000000"/>
          <w:shd w:val="clear" w:color="auto" w:fill="FFFFFF"/>
        </w:rPr>
        <w:t>kn</w:t>
      </w:r>
      <w:r>
        <w:rPr>
          <w:color w:val="000000"/>
          <w:shd w:val="clear" w:color="auto" w:fill="FFFFFF"/>
        </w:rPr>
        <w:t>,</w:t>
      </w:r>
    </w:p>
    <w:p w:rsidR="009F6146" w:rsidRPr="00BE2CCD" w:rsidRDefault="009F6146" w:rsidP="009F6146">
      <w:pPr>
        <w:spacing w:after="0"/>
        <w:jc w:val="both"/>
        <w:rPr>
          <w:color w:val="000000"/>
          <w:shd w:val="clear" w:color="auto" w:fill="FFFFFF"/>
        </w:rPr>
      </w:pPr>
      <w:r>
        <w:rPr>
          <w:color w:val="000000"/>
          <w:shd w:val="clear" w:color="auto" w:fill="FFFFFF"/>
        </w:rPr>
        <w:t xml:space="preserve">- </w:t>
      </w:r>
      <w:r w:rsidRPr="00BE2CCD">
        <w:rPr>
          <w:color w:val="000000"/>
          <w:shd w:val="clear" w:color="auto" w:fill="FFFFFF"/>
        </w:rPr>
        <w:t xml:space="preserve">Ugovor o cesiji – tuzemni </w:t>
      </w:r>
      <w:proofErr w:type="spellStart"/>
      <w:r w:rsidRPr="00BE2CCD">
        <w:rPr>
          <w:color w:val="000000"/>
          <w:shd w:val="clear" w:color="auto" w:fill="FFFFFF"/>
        </w:rPr>
        <w:t>bezregresni</w:t>
      </w:r>
      <w:proofErr w:type="spellEnd"/>
      <w:r w:rsidRPr="00BE2CCD">
        <w:rPr>
          <w:color w:val="000000"/>
          <w:shd w:val="clear" w:color="auto" w:fill="FFFFFF"/>
        </w:rPr>
        <w:t xml:space="preserve"> između </w:t>
      </w:r>
      <w:proofErr w:type="spellStart"/>
      <w:r w:rsidRPr="00BE2CCD">
        <w:rPr>
          <w:color w:val="000000"/>
          <w:shd w:val="clear" w:color="auto" w:fill="FFFFFF"/>
        </w:rPr>
        <w:t>Erste&amp;Steiermärkische</w:t>
      </w:r>
      <w:proofErr w:type="spellEnd"/>
      <w:r w:rsidRPr="00BE2CCD">
        <w:rPr>
          <w:color w:val="000000"/>
          <w:shd w:val="clear" w:color="auto" w:fill="FFFFFF"/>
        </w:rPr>
        <w:t xml:space="preserve"> Bank d.d., Zagrebačkog električnog tramvaja d.o.o. i Grada Zagreba u iznosu od 30.000.000 kn</w:t>
      </w:r>
      <w:r>
        <w:rPr>
          <w:color w:val="000000"/>
          <w:shd w:val="clear" w:color="auto" w:fill="FFFFFF"/>
        </w:rPr>
        <w:t>,</w:t>
      </w:r>
    </w:p>
    <w:p w:rsidR="009F6146" w:rsidRPr="00BE2CCD" w:rsidRDefault="009F6146" w:rsidP="009F6146">
      <w:pPr>
        <w:spacing w:after="0"/>
        <w:jc w:val="both"/>
        <w:rPr>
          <w:color w:val="000000"/>
          <w:shd w:val="clear" w:color="auto" w:fill="FFFFFF"/>
        </w:rPr>
      </w:pPr>
      <w:r>
        <w:rPr>
          <w:color w:val="000000"/>
          <w:shd w:val="clear" w:color="auto" w:fill="FFFFFF"/>
        </w:rPr>
        <w:t xml:space="preserve">- </w:t>
      </w:r>
      <w:r w:rsidRPr="00BE2CCD">
        <w:rPr>
          <w:color w:val="000000"/>
          <w:shd w:val="clear" w:color="auto" w:fill="FFFFFF"/>
        </w:rPr>
        <w:t>Ugovor o međusobnim odnosima iz poslova otkupa potraživanja između Zagrebačke banke d.d., Zagrebačkih otpadnih voda d.o.o, Vodoopskrbe i odvodnje d.o.o. i Grada Zagreba i Ugovor o otkupu tražbine bez prava regresa između Zagrebačke banke i Grada Zagreba u iznosu od 100.000.000 kn</w:t>
      </w:r>
      <w:r>
        <w:rPr>
          <w:color w:val="000000"/>
          <w:shd w:val="clear" w:color="auto" w:fill="FFFFFF"/>
        </w:rPr>
        <w:t>,</w:t>
      </w:r>
    </w:p>
    <w:p w:rsidR="009F6146" w:rsidRPr="00BE2CCD" w:rsidRDefault="009F6146" w:rsidP="009F6146">
      <w:pPr>
        <w:spacing w:after="0"/>
        <w:jc w:val="both"/>
        <w:rPr>
          <w:color w:val="000000"/>
          <w:shd w:val="clear" w:color="auto" w:fill="FFFFFF"/>
        </w:rPr>
      </w:pPr>
      <w:r>
        <w:rPr>
          <w:color w:val="000000"/>
          <w:shd w:val="clear" w:color="auto" w:fill="FFFFFF"/>
        </w:rPr>
        <w:t xml:space="preserve">- </w:t>
      </w:r>
      <w:r w:rsidRPr="00BE2CCD">
        <w:rPr>
          <w:color w:val="000000"/>
          <w:shd w:val="clear" w:color="auto" w:fill="FFFFFF"/>
        </w:rPr>
        <w:t xml:space="preserve">Ugovor o cesiji – tuzemni </w:t>
      </w:r>
      <w:proofErr w:type="spellStart"/>
      <w:r w:rsidRPr="00BE2CCD">
        <w:rPr>
          <w:color w:val="000000"/>
          <w:shd w:val="clear" w:color="auto" w:fill="FFFFFF"/>
        </w:rPr>
        <w:t>bezregresni</w:t>
      </w:r>
      <w:proofErr w:type="spellEnd"/>
      <w:r w:rsidRPr="00BE2CCD">
        <w:rPr>
          <w:color w:val="000000"/>
          <w:shd w:val="clear" w:color="auto" w:fill="FFFFFF"/>
        </w:rPr>
        <w:t xml:space="preserve"> između </w:t>
      </w:r>
      <w:proofErr w:type="spellStart"/>
      <w:r w:rsidRPr="00BE2CCD">
        <w:rPr>
          <w:color w:val="000000"/>
          <w:shd w:val="clear" w:color="auto" w:fill="FFFFFF"/>
        </w:rPr>
        <w:t>Erste&amp;Steiermärkische</w:t>
      </w:r>
      <w:proofErr w:type="spellEnd"/>
      <w:r w:rsidRPr="00BE2CCD">
        <w:rPr>
          <w:color w:val="000000"/>
          <w:shd w:val="clear" w:color="auto" w:fill="FFFFFF"/>
        </w:rPr>
        <w:t xml:space="preserve"> Bank d.d., Zagrebačkih otpadnih voda d.o.o, Vodoopskrbe i odvodnje d.o.o. i Grada Zagreba i Sporazum o podmirenju troškova – tuzemni </w:t>
      </w:r>
      <w:proofErr w:type="spellStart"/>
      <w:r w:rsidRPr="00BE2CCD">
        <w:rPr>
          <w:color w:val="000000"/>
          <w:shd w:val="clear" w:color="auto" w:fill="FFFFFF"/>
        </w:rPr>
        <w:t>bezregresni</w:t>
      </w:r>
      <w:proofErr w:type="spellEnd"/>
      <w:r w:rsidRPr="00BE2CCD">
        <w:rPr>
          <w:color w:val="000000"/>
          <w:shd w:val="clear" w:color="auto" w:fill="FFFFFF"/>
        </w:rPr>
        <w:t xml:space="preserve"> između </w:t>
      </w:r>
      <w:proofErr w:type="spellStart"/>
      <w:r w:rsidRPr="00BE2CCD">
        <w:rPr>
          <w:color w:val="000000"/>
          <w:shd w:val="clear" w:color="auto" w:fill="FFFFFF"/>
        </w:rPr>
        <w:t>Erste&amp;Steiermärkische</w:t>
      </w:r>
      <w:proofErr w:type="spellEnd"/>
      <w:r w:rsidRPr="00BE2CCD">
        <w:rPr>
          <w:color w:val="000000"/>
          <w:shd w:val="clear" w:color="auto" w:fill="FFFFFF"/>
        </w:rPr>
        <w:t xml:space="preserve"> Bank d.d.  i Grada Zagreba u iznosu od 40.000.000 kn</w:t>
      </w:r>
      <w:r>
        <w:rPr>
          <w:color w:val="000000"/>
          <w:shd w:val="clear" w:color="auto" w:fill="FFFFFF"/>
        </w:rPr>
        <w:t xml:space="preserve"> i</w:t>
      </w:r>
    </w:p>
    <w:p w:rsidR="009F6146" w:rsidRPr="003D2F43" w:rsidRDefault="009F6146" w:rsidP="009F6146">
      <w:pPr>
        <w:spacing w:after="0"/>
        <w:jc w:val="both"/>
        <w:rPr>
          <w:color w:val="000000"/>
          <w:shd w:val="clear" w:color="auto" w:fill="FFFFFF"/>
        </w:rPr>
      </w:pPr>
      <w:r w:rsidRPr="00BE2CCD">
        <w:rPr>
          <w:color w:val="000000"/>
          <w:shd w:val="clear" w:color="auto" w:fill="FFFFFF"/>
        </w:rPr>
        <w:t>-</w:t>
      </w:r>
      <w:r>
        <w:rPr>
          <w:color w:val="000000"/>
          <w:shd w:val="clear" w:color="auto" w:fill="FFFFFF"/>
        </w:rPr>
        <w:t xml:space="preserve"> </w:t>
      </w:r>
      <w:r w:rsidRPr="00BE2CCD">
        <w:rPr>
          <w:color w:val="000000"/>
          <w:shd w:val="clear" w:color="auto" w:fill="FFFFFF"/>
        </w:rPr>
        <w:t xml:space="preserve">Ugovor o cesiji – tuzemni </w:t>
      </w:r>
      <w:proofErr w:type="spellStart"/>
      <w:r w:rsidRPr="00BE2CCD">
        <w:rPr>
          <w:color w:val="000000"/>
          <w:shd w:val="clear" w:color="auto" w:fill="FFFFFF"/>
        </w:rPr>
        <w:t>bezregresni</w:t>
      </w:r>
      <w:proofErr w:type="spellEnd"/>
      <w:r w:rsidRPr="00BE2CCD">
        <w:rPr>
          <w:color w:val="000000"/>
          <w:shd w:val="clear" w:color="auto" w:fill="FFFFFF"/>
        </w:rPr>
        <w:t xml:space="preserve"> između </w:t>
      </w:r>
      <w:proofErr w:type="spellStart"/>
      <w:r w:rsidRPr="00BE2CCD">
        <w:rPr>
          <w:color w:val="000000"/>
          <w:shd w:val="clear" w:color="auto" w:fill="FFFFFF"/>
        </w:rPr>
        <w:t>Erste&amp;Steiermärkische</w:t>
      </w:r>
      <w:proofErr w:type="spellEnd"/>
      <w:r w:rsidRPr="00BE2CCD">
        <w:rPr>
          <w:color w:val="000000"/>
          <w:shd w:val="clear" w:color="auto" w:fill="FFFFFF"/>
        </w:rPr>
        <w:t xml:space="preserve"> Bank d.d., Vodoopskrbe i odvodnje d.o.o. i Grada Zagreba i Ugovor o otkupu dospjelih potraživanja između Vodoopskrbe i odvodnje d.o.o i </w:t>
      </w:r>
      <w:proofErr w:type="spellStart"/>
      <w:r w:rsidRPr="00BE2CCD">
        <w:rPr>
          <w:color w:val="000000"/>
          <w:shd w:val="clear" w:color="auto" w:fill="FFFFFF"/>
        </w:rPr>
        <w:t>Erste&amp;Steiermärkische</w:t>
      </w:r>
      <w:proofErr w:type="spellEnd"/>
      <w:r w:rsidRPr="00BE2CCD">
        <w:rPr>
          <w:color w:val="000000"/>
          <w:shd w:val="clear" w:color="auto" w:fill="FFFFFF"/>
        </w:rPr>
        <w:t xml:space="preserve"> Bank d.d. u iznosu od 51.310.21</w:t>
      </w:r>
      <w:r>
        <w:rPr>
          <w:color w:val="000000"/>
          <w:shd w:val="clear" w:color="auto" w:fill="FFFFFF"/>
        </w:rPr>
        <w:t>8</w:t>
      </w:r>
      <w:r w:rsidRPr="00BE2CCD">
        <w:rPr>
          <w:color w:val="000000"/>
          <w:shd w:val="clear" w:color="auto" w:fill="FFFFFF"/>
        </w:rPr>
        <w:t xml:space="preserve"> kn</w:t>
      </w:r>
      <w:r>
        <w:rPr>
          <w:color w:val="000000"/>
          <w:shd w:val="clear" w:color="auto" w:fill="FFFFFF"/>
        </w:rPr>
        <w:t xml:space="preserve">. </w:t>
      </w:r>
    </w:p>
    <w:p w:rsidR="009F6146" w:rsidRDefault="009F6146" w:rsidP="009F6146">
      <w:pPr>
        <w:jc w:val="both"/>
        <w:rPr>
          <w:b/>
          <w:highlight w:val="yellow"/>
        </w:rPr>
      </w:pPr>
    </w:p>
    <w:p w:rsidR="009F6146" w:rsidRPr="004F1269" w:rsidRDefault="009F6146" w:rsidP="009F6146">
      <w:pPr>
        <w:jc w:val="both"/>
      </w:pPr>
      <w:r w:rsidRPr="004F1269">
        <w:rPr>
          <w:b/>
        </w:rPr>
        <w:lastRenderedPageBreak/>
        <w:t>Bilješka br. 24 – AOP 209 Obveze za zajmove od državnog proračuna</w:t>
      </w:r>
    </w:p>
    <w:p w:rsidR="009F6146" w:rsidRDefault="009F6146" w:rsidP="009F6146">
      <w:pPr>
        <w:jc w:val="both"/>
      </w:pPr>
      <w:r w:rsidRPr="004F1269">
        <w:t xml:space="preserve">U 2020. godini zbog primjene ekonomskih mjera Vlade Republike Hrvatske usmjerenih davanju poticaja za zadržavanje radnih mjesta i rješavanje problema likvidnosti onima čija je poslovna aktivnost smanjena  uslijed nastupa posebnih okolnosti (epidemija </w:t>
      </w:r>
      <w:proofErr w:type="spellStart"/>
      <w:r w:rsidRPr="004F1269">
        <w:t>koronavirusa</w:t>
      </w:r>
      <w:proofErr w:type="spellEnd"/>
      <w:r w:rsidRPr="004F1269">
        <w:t xml:space="preserve"> COVID-19), jedinicama lokalne i područne (regionalne) samouprave koje su se suočile s </w:t>
      </w:r>
      <w:proofErr w:type="spellStart"/>
      <w:r w:rsidRPr="004F1269">
        <w:t>nesrazmjerom</w:t>
      </w:r>
      <w:proofErr w:type="spellEnd"/>
      <w:r w:rsidRPr="004F1269">
        <w:t xml:space="preserve"> između dinamike priljeva sredstava i dospijeća obveza, omogućeno je kroz odredbe Zakona o izvršavanju  Državnog proračuna Republike Hrvatske za 2020. godinu ostvarivanje prava na  beskamatni zajam sukladno Naputku o načinu isplate beskamatnog zajma jedinicama lokalne i područne (regionalne) samouprave, Hrvatskom zavodu za zdravstveno osiguranje i Hrvatskom zavodu za mirovinsko osiguranje (Narodne novine 46/20).  Grad Zagreb iskoristio je pravo na beskamatne zajmove te na dan 31.12.2020. obveze prema državnom proračunu iznose 429.670.294 kn.</w:t>
      </w:r>
    </w:p>
    <w:p w:rsidR="00F7108F" w:rsidRPr="004F1269" w:rsidRDefault="00F7108F" w:rsidP="009F6146">
      <w:pPr>
        <w:jc w:val="both"/>
      </w:pPr>
    </w:p>
    <w:p w:rsidR="009F6146" w:rsidRDefault="009F6146" w:rsidP="009F6146">
      <w:pPr>
        <w:rPr>
          <w:b/>
        </w:rPr>
      </w:pPr>
      <w:r>
        <w:rPr>
          <w:b/>
        </w:rPr>
        <w:t>Bilješka br. 25</w:t>
      </w:r>
      <w:r>
        <w:t xml:space="preserve"> – </w:t>
      </w:r>
      <w:r w:rsidRPr="006627CA">
        <w:rPr>
          <w:b/>
        </w:rPr>
        <w:t xml:space="preserve">Rezultat poslovanja </w:t>
      </w:r>
    </w:p>
    <w:p w:rsidR="009F6146" w:rsidRPr="003D0188" w:rsidRDefault="009F6146" w:rsidP="009F6146">
      <w:pPr>
        <w:spacing w:after="0"/>
      </w:pPr>
      <w:r w:rsidRPr="003D0188">
        <w:t>U izvještajnom razdoblju ostvareni je višak prihoda i primitaka u iznosu od 123.121.71</w:t>
      </w:r>
      <w:r>
        <w:t>6</w:t>
      </w:r>
      <w:r w:rsidRPr="003D0188">
        <w:t xml:space="preserve"> kn, koji je ostvaren, nakon propisanih korekcija prihoda od :</w:t>
      </w:r>
    </w:p>
    <w:p w:rsidR="009F6146" w:rsidRPr="003D0188" w:rsidRDefault="009F6146" w:rsidP="009F6146">
      <w:pPr>
        <w:spacing w:after="0"/>
      </w:pPr>
      <w:r w:rsidRPr="003D0188">
        <w:t xml:space="preserve">- viška prihoda poslovanja u iznosu od 13.227.585 kn </w:t>
      </w:r>
    </w:p>
    <w:p w:rsidR="009F6146" w:rsidRPr="003D0188" w:rsidRDefault="009F6146" w:rsidP="009F6146">
      <w:pPr>
        <w:spacing w:after="0"/>
      </w:pPr>
      <w:r w:rsidRPr="003D0188">
        <w:t>- viška primitaka od financijske imovine 654.284.915 kn i</w:t>
      </w:r>
    </w:p>
    <w:p w:rsidR="009F6146" w:rsidRDefault="009F6146" w:rsidP="009F6146">
      <w:pPr>
        <w:spacing w:after="0"/>
      </w:pPr>
      <w:r w:rsidRPr="003D0188">
        <w:t>- manjka prihoda od nefinancijske imovine 544.390.784 kn.</w:t>
      </w:r>
      <w:r>
        <w:t xml:space="preserve"> </w:t>
      </w:r>
    </w:p>
    <w:p w:rsidR="009F6146" w:rsidRDefault="009F6146" w:rsidP="00BE5F8A">
      <w:pPr>
        <w:spacing w:after="0"/>
      </w:pPr>
      <w:r>
        <w:t>Na kraju proračunske godine utvrđen je manjak prihoda za pokriće u slijedećem razdoblju u ukupnom iznosu od 917.598.027 kn.</w:t>
      </w:r>
    </w:p>
    <w:p w:rsidR="00BE5F8A" w:rsidRDefault="00BE5F8A" w:rsidP="009F6146">
      <w:pPr>
        <w:jc w:val="both"/>
      </w:pPr>
    </w:p>
    <w:p w:rsidR="009F6146" w:rsidRDefault="009F6146" w:rsidP="009F6146">
      <w:pPr>
        <w:jc w:val="both"/>
      </w:pPr>
      <w:r w:rsidRPr="00AB1EC2">
        <w:rPr>
          <w:b/>
        </w:rPr>
        <w:t xml:space="preserve">Bilješka br. </w:t>
      </w:r>
      <w:r>
        <w:rPr>
          <w:b/>
        </w:rPr>
        <w:t>26</w:t>
      </w:r>
      <w:r w:rsidRPr="00AB1EC2">
        <w:t xml:space="preserve"> – </w:t>
      </w:r>
      <w:r w:rsidRPr="006627CA">
        <w:rPr>
          <w:b/>
        </w:rPr>
        <w:t>AOP 2</w:t>
      </w:r>
      <w:r>
        <w:rPr>
          <w:b/>
        </w:rPr>
        <w:t>50</w:t>
      </w:r>
      <w:r w:rsidRPr="006627CA">
        <w:rPr>
          <w:b/>
        </w:rPr>
        <w:t xml:space="preserve"> i AOP 2</w:t>
      </w:r>
      <w:r>
        <w:rPr>
          <w:b/>
        </w:rPr>
        <w:t>51</w:t>
      </w:r>
      <w:r w:rsidRPr="006627CA">
        <w:rPr>
          <w:b/>
        </w:rPr>
        <w:t xml:space="preserve"> </w:t>
      </w:r>
      <w:proofErr w:type="spellStart"/>
      <w:r w:rsidRPr="006627CA">
        <w:rPr>
          <w:b/>
        </w:rPr>
        <w:t>Izvanbilančni</w:t>
      </w:r>
      <w:proofErr w:type="spellEnd"/>
      <w:r w:rsidRPr="006627CA">
        <w:rPr>
          <w:b/>
        </w:rPr>
        <w:t xml:space="preserve"> zapisi</w:t>
      </w:r>
    </w:p>
    <w:p w:rsidR="009F6146" w:rsidRDefault="009F6146" w:rsidP="009F6146">
      <w:pPr>
        <w:jc w:val="both"/>
        <w:rPr>
          <w:rFonts w:eastAsia="Times New Roman" w:cstheme="minorHAnsi"/>
          <w:lang w:eastAsia="hr-HR"/>
        </w:rPr>
      </w:pPr>
      <w:r>
        <w:rPr>
          <w:rFonts w:cstheme="minorHAnsi"/>
        </w:rPr>
        <w:t>Na</w:t>
      </w:r>
      <w:r w:rsidRPr="00646A06">
        <w:rPr>
          <w:rFonts w:cstheme="minorHAnsi"/>
        </w:rPr>
        <w:t xml:space="preserve"> </w:t>
      </w:r>
      <w:proofErr w:type="spellStart"/>
      <w:r w:rsidRPr="00646A06">
        <w:rPr>
          <w:rFonts w:cstheme="minorHAnsi"/>
        </w:rPr>
        <w:t>izvanbilančnim</w:t>
      </w:r>
      <w:proofErr w:type="spellEnd"/>
      <w:r w:rsidRPr="00646A06">
        <w:rPr>
          <w:rFonts w:cstheme="minorHAnsi"/>
        </w:rPr>
        <w:t xml:space="preserve"> zapisima evidentiran</w:t>
      </w:r>
      <w:r>
        <w:rPr>
          <w:rFonts w:cstheme="minorHAnsi"/>
        </w:rPr>
        <w:t xml:space="preserve"> je iznos od</w:t>
      </w:r>
      <w:r w:rsidRPr="00646A06">
        <w:rPr>
          <w:rFonts w:cstheme="minorHAnsi"/>
        </w:rPr>
        <w:t xml:space="preserve"> </w:t>
      </w:r>
      <w:r>
        <w:rPr>
          <w:rFonts w:cstheme="minorHAnsi"/>
        </w:rPr>
        <w:t xml:space="preserve">10.944.497.386 kn, a odnosi se na </w:t>
      </w:r>
      <w:proofErr w:type="spellStart"/>
      <w:r>
        <w:rPr>
          <w:rFonts w:cstheme="minorHAnsi"/>
        </w:rPr>
        <w:t>izvanbilančnu</w:t>
      </w:r>
      <w:proofErr w:type="spellEnd"/>
      <w:r>
        <w:rPr>
          <w:rFonts w:cstheme="minorHAnsi"/>
        </w:rPr>
        <w:t xml:space="preserve"> evidenciju</w:t>
      </w:r>
      <w:r w:rsidRPr="00646A06">
        <w:rPr>
          <w:rFonts w:cstheme="minorHAnsi"/>
        </w:rPr>
        <w:t xml:space="preserve"> poslovni</w:t>
      </w:r>
      <w:r>
        <w:rPr>
          <w:rFonts w:cstheme="minorHAnsi"/>
        </w:rPr>
        <w:t>h</w:t>
      </w:r>
      <w:r w:rsidRPr="00646A06">
        <w:rPr>
          <w:rFonts w:cstheme="minorHAnsi"/>
        </w:rPr>
        <w:t xml:space="preserve"> događaj</w:t>
      </w:r>
      <w:r>
        <w:rPr>
          <w:rFonts w:cstheme="minorHAnsi"/>
        </w:rPr>
        <w:t>a</w:t>
      </w:r>
      <w:r w:rsidRPr="00646A06">
        <w:rPr>
          <w:rFonts w:cstheme="minorHAnsi"/>
        </w:rPr>
        <w:t xml:space="preserve"> koji ne utječu na stanje imovine, obveza i izvora vlasništva niti na </w:t>
      </w:r>
      <w:r>
        <w:rPr>
          <w:rFonts w:cstheme="minorHAnsi"/>
        </w:rPr>
        <w:t>rezultat izvještajnog razdoblja i</w:t>
      </w:r>
      <w:r w:rsidRPr="00646A06">
        <w:rPr>
          <w:rFonts w:cstheme="minorHAnsi"/>
        </w:rPr>
        <w:t xml:space="preserve"> </w:t>
      </w:r>
      <w:r>
        <w:rPr>
          <w:rFonts w:cstheme="minorHAnsi"/>
        </w:rPr>
        <w:t xml:space="preserve">to na: dane suglasnosti za zaduživanje, </w:t>
      </w:r>
      <w:proofErr w:type="spellStart"/>
      <w:r>
        <w:rPr>
          <w:rFonts w:cstheme="minorHAnsi"/>
        </w:rPr>
        <w:t>instrumenate</w:t>
      </w:r>
      <w:proofErr w:type="spellEnd"/>
      <w:r w:rsidRPr="00646A06">
        <w:rPr>
          <w:rFonts w:cstheme="minorHAnsi"/>
        </w:rPr>
        <w:t xml:space="preserve"> os</w:t>
      </w:r>
      <w:r>
        <w:rPr>
          <w:rFonts w:cstheme="minorHAnsi"/>
        </w:rPr>
        <w:t>iguranja plaćanja, potencijalne obveze</w:t>
      </w:r>
      <w:r w:rsidRPr="00646A06">
        <w:rPr>
          <w:rFonts w:cstheme="minorHAnsi"/>
        </w:rPr>
        <w:t xml:space="preserve"> po osnovu </w:t>
      </w:r>
      <w:r>
        <w:rPr>
          <w:rFonts w:cstheme="minorHAnsi"/>
        </w:rPr>
        <w:t>sudskih sporova u tijeku, obveze</w:t>
      </w:r>
      <w:r w:rsidRPr="00646A06">
        <w:rPr>
          <w:rFonts w:cstheme="minorHAnsi"/>
        </w:rPr>
        <w:t xml:space="preserve"> po osnovi dugogodišnjih ugovora s osnove zakupnina ili najamnina</w:t>
      </w:r>
      <w:r>
        <w:rPr>
          <w:rFonts w:cstheme="minorHAnsi"/>
        </w:rPr>
        <w:t>, izdanih jamstava</w:t>
      </w:r>
      <w:r w:rsidRPr="00646A06">
        <w:rPr>
          <w:rFonts w:cstheme="minorHAnsi"/>
        </w:rPr>
        <w:t xml:space="preserve"> i sl. </w:t>
      </w:r>
      <w:r>
        <w:rPr>
          <w:rFonts w:eastAsia="Times New Roman" w:cstheme="minorHAnsi"/>
          <w:lang w:eastAsia="hr-HR"/>
        </w:rPr>
        <w:t xml:space="preserve">Evidentiranje je provedeno </w:t>
      </w:r>
      <w:r w:rsidRPr="00646A06">
        <w:rPr>
          <w:rFonts w:eastAsia="Times New Roman" w:cstheme="minorHAnsi"/>
          <w:lang w:eastAsia="hr-HR"/>
        </w:rPr>
        <w:t>prema dostavljenim podacima iz pomoćnih i analitičkih evidencija nadležnih gradskih upravnih tijela na dan 31.12.20</w:t>
      </w:r>
      <w:r>
        <w:rPr>
          <w:rFonts w:eastAsia="Times New Roman" w:cstheme="minorHAnsi"/>
          <w:lang w:eastAsia="hr-HR"/>
        </w:rPr>
        <w:t>20</w:t>
      </w:r>
      <w:r w:rsidRPr="00646A06">
        <w:rPr>
          <w:rFonts w:eastAsia="Times New Roman" w:cstheme="minorHAnsi"/>
          <w:lang w:eastAsia="hr-HR"/>
        </w:rPr>
        <w:t>.</w:t>
      </w:r>
      <w:r>
        <w:rPr>
          <w:rFonts w:eastAsia="Times New Roman" w:cstheme="minorHAnsi"/>
          <w:lang w:eastAsia="hr-HR"/>
        </w:rPr>
        <w:t xml:space="preserve"> i daju se u Obveznim bilješkama uz Bilancu.</w:t>
      </w:r>
    </w:p>
    <w:p w:rsidR="00BE5F8A" w:rsidRDefault="00BE5F8A" w:rsidP="009F6146">
      <w:pPr>
        <w:jc w:val="both"/>
        <w:rPr>
          <w:rFonts w:eastAsia="Times New Roman" w:cstheme="minorHAnsi"/>
          <w:lang w:eastAsia="hr-HR"/>
        </w:rPr>
      </w:pPr>
    </w:p>
    <w:p w:rsidR="00F7108F" w:rsidRDefault="00F7108F" w:rsidP="005E4779">
      <w:pPr>
        <w:pStyle w:val="ListParagraph"/>
        <w:autoSpaceDE w:val="0"/>
        <w:autoSpaceDN w:val="0"/>
        <w:adjustRightInd w:val="0"/>
        <w:spacing w:after="0" w:line="240" w:lineRule="auto"/>
        <w:rPr>
          <w:rFonts w:cstheme="minorHAnsi"/>
        </w:rPr>
      </w:pPr>
    </w:p>
    <w:p w:rsidR="00BE5F8A" w:rsidRDefault="00BE5F8A"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Default="002C7A08" w:rsidP="005E4779">
      <w:pPr>
        <w:pStyle w:val="ListParagraph"/>
        <w:autoSpaceDE w:val="0"/>
        <w:autoSpaceDN w:val="0"/>
        <w:adjustRightInd w:val="0"/>
        <w:spacing w:after="0" w:line="240" w:lineRule="auto"/>
        <w:rPr>
          <w:rFonts w:cstheme="minorHAnsi"/>
        </w:rPr>
      </w:pPr>
    </w:p>
    <w:p w:rsidR="002C7A08" w:rsidRPr="00BE5F8A" w:rsidRDefault="002C7A08" w:rsidP="005E4779">
      <w:pPr>
        <w:pStyle w:val="ListParagraph"/>
        <w:autoSpaceDE w:val="0"/>
        <w:autoSpaceDN w:val="0"/>
        <w:adjustRightInd w:val="0"/>
        <w:spacing w:after="0" w:line="240" w:lineRule="auto"/>
        <w:rPr>
          <w:rFonts w:cstheme="minorHAnsi"/>
        </w:rPr>
      </w:pPr>
    </w:p>
    <w:p w:rsidR="00A234C4" w:rsidRPr="00BE5F8A" w:rsidRDefault="00A234C4" w:rsidP="00A234C4">
      <w:pPr>
        <w:jc w:val="both"/>
        <w:rPr>
          <w:rFonts w:eastAsia="Times New Roman" w:cstheme="minorHAnsi"/>
          <w:b/>
          <w:lang w:eastAsia="hr-HR"/>
        </w:rPr>
      </w:pPr>
      <w:r w:rsidRPr="00BE5F8A">
        <w:rPr>
          <w:rFonts w:eastAsia="Times New Roman" w:cstheme="minorHAnsi"/>
          <w:b/>
          <w:lang w:eastAsia="hr-HR"/>
        </w:rPr>
        <w:lastRenderedPageBreak/>
        <w:t>OBVEZNE BILJEŠKE UZ BILANCU</w:t>
      </w:r>
    </w:p>
    <w:p w:rsidR="00F7108F" w:rsidRDefault="00A234C4" w:rsidP="004120DD">
      <w:pPr>
        <w:pStyle w:val="ListParagraph"/>
        <w:numPr>
          <w:ilvl w:val="0"/>
          <w:numId w:val="10"/>
        </w:numPr>
        <w:spacing w:after="120" w:line="276" w:lineRule="auto"/>
        <w:jc w:val="both"/>
        <w:rPr>
          <w:rFonts w:eastAsia="Times New Roman" w:cstheme="minorHAnsi"/>
          <w:b/>
          <w:lang w:eastAsia="hr-HR"/>
        </w:rPr>
      </w:pPr>
      <w:r w:rsidRPr="00BE5F8A">
        <w:rPr>
          <w:rFonts w:eastAsia="Times New Roman" w:cstheme="minorHAnsi"/>
          <w:b/>
          <w:lang w:eastAsia="hr-HR"/>
        </w:rPr>
        <w:t>POPIS UGOVORNIH ODNOSA I SLIČNO KOJI UZ ISPUNJAVANJE ODREĐENIH UVJETA MOGU POSTATI OBVEZA ILI IMOVINA (DANA KREDITNA PISMA, HIPOTEKE I SLIČNO)</w:t>
      </w:r>
    </w:p>
    <w:p w:rsidR="004120DD" w:rsidRPr="004120DD" w:rsidRDefault="004120DD" w:rsidP="004120DD">
      <w:pPr>
        <w:pStyle w:val="ListParagraph"/>
        <w:spacing w:after="120" w:line="276" w:lineRule="auto"/>
        <w:ind w:left="765"/>
        <w:jc w:val="both"/>
        <w:rPr>
          <w:rFonts w:eastAsia="Times New Roman" w:cstheme="minorHAnsi"/>
          <w:b/>
          <w:lang w:eastAsia="hr-HR"/>
        </w:rPr>
      </w:pPr>
    </w:p>
    <w:p w:rsidR="00A234C4" w:rsidRPr="00FA75D6" w:rsidRDefault="004120DD" w:rsidP="00FA75D6">
      <w:pPr>
        <w:pStyle w:val="ListParagraph"/>
        <w:spacing w:after="120"/>
        <w:ind w:left="765"/>
        <w:jc w:val="both"/>
        <w:rPr>
          <w:rFonts w:eastAsia="Times New Roman" w:cstheme="minorHAnsi"/>
          <w:lang w:eastAsia="hr-HR"/>
        </w:rPr>
      </w:pPr>
      <w:r>
        <w:rPr>
          <w:rFonts w:eastAsia="Times New Roman" w:cstheme="minorHAnsi"/>
          <w:lang w:eastAsia="hr-HR"/>
        </w:rPr>
        <w:t xml:space="preserve"> </w:t>
      </w:r>
      <w:r w:rsidR="00A234C4" w:rsidRPr="00BE5F8A">
        <w:rPr>
          <w:rFonts w:eastAsia="Times New Roman" w:cstheme="minorHAnsi"/>
          <w:lang w:eastAsia="hr-HR"/>
        </w:rPr>
        <w:t>I.1. VIŠEGODIŠNJI UGOVORI S OSNOVA ZAKUPNINA ILI NAJAMNINA</w:t>
      </w:r>
    </w:p>
    <w:p w:rsidR="00F7108F" w:rsidRPr="00BE5F8A" w:rsidRDefault="00A234C4" w:rsidP="00A234C4">
      <w:pPr>
        <w:spacing w:after="120"/>
        <w:jc w:val="both"/>
        <w:rPr>
          <w:rFonts w:eastAsia="Times New Roman" w:cstheme="minorHAnsi"/>
          <w:lang w:eastAsia="hr-HR"/>
        </w:rPr>
      </w:pPr>
      <w:r w:rsidRPr="00BE5F8A">
        <w:rPr>
          <w:rFonts w:eastAsia="Times New Roman" w:cstheme="minorHAnsi"/>
          <w:lang w:eastAsia="hr-HR"/>
        </w:rPr>
        <w:t xml:space="preserve">S osnova sklopljenih višegodišnjih ugovora za zakup ili najam poslovnih prostora, objekata i stanova, Grad je preuzeo obveze koje zahtijevaju plaćanje u sljedećim godinama. </w:t>
      </w:r>
    </w:p>
    <w:tbl>
      <w:tblPr>
        <w:tblW w:w="9038" w:type="dxa"/>
        <w:tblInd w:w="113" w:type="dxa"/>
        <w:tblLook w:val="04A0" w:firstRow="1" w:lastRow="0" w:firstColumn="1" w:lastColumn="0" w:noHBand="0" w:noVBand="1"/>
      </w:tblPr>
      <w:tblGrid>
        <w:gridCol w:w="495"/>
        <w:gridCol w:w="4541"/>
        <w:gridCol w:w="1062"/>
        <w:gridCol w:w="1075"/>
        <w:gridCol w:w="1900"/>
      </w:tblGrid>
      <w:tr w:rsidR="00A234C4" w:rsidRPr="00BE5F8A" w:rsidTr="001450C6">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RB</w:t>
            </w:r>
          </w:p>
        </w:tc>
        <w:tc>
          <w:tcPr>
            <w:tcW w:w="454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ZAKUP/NAJAM OBJEKTA</w:t>
            </w:r>
          </w:p>
        </w:tc>
        <w:tc>
          <w:tcPr>
            <w:tcW w:w="2137"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UGOVORENO</w:t>
            </w:r>
          </w:p>
        </w:tc>
        <w:tc>
          <w:tcPr>
            <w:tcW w:w="19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ZA OTPLATU</w:t>
            </w:r>
          </w:p>
        </w:tc>
      </w:tr>
      <w:tr w:rsidR="00A234C4" w:rsidRPr="00BE5F8A" w:rsidTr="001450C6">
        <w:trPr>
          <w:trHeight w:val="300"/>
        </w:trPr>
        <w:tc>
          <w:tcPr>
            <w:tcW w:w="4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rPr>
                <w:rFonts w:eastAsia="Times New Roman" w:cs="Calibri"/>
                <w:color w:val="000000"/>
                <w:lang w:eastAsia="hr-HR"/>
              </w:rPr>
            </w:pPr>
          </w:p>
        </w:tc>
        <w:tc>
          <w:tcPr>
            <w:tcW w:w="454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rPr>
                <w:rFonts w:eastAsia="Times New Roman" w:cs="Calibri"/>
                <w:color w:val="000000"/>
                <w:lang w:eastAsia="hr-HR"/>
              </w:rPr>
            </w:pPr>
          </w:p>
        </w:tc>
        <w:tc>
          <w:tcPr>
            <w:tcW w:w="1062" w:type="dxa"/>
            <w:tcBorders>
              <w:top w:val="nil"/>
              <w:left w:val="nil"/>
              <w:bottom w:val="single" w:sz="4" w:space="0" w:color="auto"/>
              <w:right w:val="single" w:sz="4" w:space="0" w:color="auto"/>
            </w:tcBorders>
            <w:shd w:val="clear" w:color="auto" w:fill="DEEAF6" w:themeFill="accent1" w:themeFillTint="33"/>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DTM</w:t>
            </w:r>
          </w:p>
        </w:tc>
        <w:tc>
          <w:tcPr>
            <w:tcW w:w="1075" w:type="dxa"/>
            <w:tcBorders>
              <w:top w:val="nil"/>
              <w:left w:val="nil"/>
              <w:bottom w:val="single" w:sz="4" w:space="0" w:color="auto"/>
              <w:right w:val="single" w:sz="4" w:space="0" w:color="auto"/>
            </w:tcBorders>
            <w:shd w:val="clear" w:color="auto" w:fill="DEEAF6" w:themeFill="accent1" w:themeFillTint="33"/>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Trajanje</w:t>
            </w:r>
          </w:p>
        </w:tc>
        <w:tc>
          <w:tcPr>
            <w:tcW w:w="1900" w:type="dxa"/>
            <w:tcBorders>
              <w:top w:val="nil"/>
              <w:left w:val="nil"/>
              <w:bottom w:val="single" w:sz="4" w:space="0" w:color="auto"/>
              <w:right w:val="single" w:sz="4" w:space="0" w:color="auto"/>
            </w:tcBorders>
            <w:shd w:val="clear" w:color="auto" w:fill="DEEAF6" w:themeFill="accent1" w:themeFillTint="33"/>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KN</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 xml:space="preserve">MO ŠALATA, </w:t>
            </w:r>
            <w:proofErr w:type="spellStart"/>
            <w:r w:rsidRPr="00BE5F8A">
              <w:rPr>
                <w:rFonts w:eastAsia="Times New Roman" w:cs="Calibri"/>
                <w:color w:val="000000"/>
                <w:lang w:eastAsia="hr-HR"/>
              </w:rPr>
              <w:t>Grškovićeva</w:t>
            </w:r>
            <w:proofErr w:type="spellEnd"/>
            <w:r w:rsidRPr="00BE5F8A">
              <w:rPr>
                <w:rFonts w:eastAsia="Times New Roman" w:cs="Calibri"/>
                <w:color w:val="000000"/>
                <w:lang w:eastAsia="hr-HR"/>
              </w:rPr>
              <w:t xml:space="preserve"> 39</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11.05.05.</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TRAJNO</w:t>
            </w:r>
          </w:p>
        </w:tc>
        <w:tc>
          <w:tcPr>
            <w:tcW w:w="1900"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7.353</w:t>
            </w:r>
          </w:p>
        </w:tc>
      </w:tr>
      <w:tr w:rsidR="00A234C4" w:rsidRPr="00BE5F8A" w:rsidTr="00DE021B">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 xml:space="preserve">MO LIPNICA, </w:t>
            </w:r>
            <w:proofErr w:type="spellStart"/>
            <w:r w:rsidRPr="00BE5F8A">
              <w:rPr>
                <w:rFonts w:eastAsia="Times New Roman" w:cs="Calibri"/>
                <w:color w:val="000000"/>
                <w:lang w:eastAsia="hr-HR"/>
              </w:rPr>
              <w:t>Lipnička</w:t>
            </w:r>
            <w:proofErr w:type="spellEnd"/>
            <w:r w:rsidRPr="00BE5F8A">
              <w:rPr>
                <w:rFonts w:eastAsia="Times New Roman" w:cs="Calibri"/>
                <w:color w:val="000000"/>
                <w:lang w:eastAsia="hr-HR"/>
              </w:rPr>
              <w:t xml:space="preserve"> cesta 36, </w:t>
            </w:r>
            <w:proofErr w:type="spellStart"/>
            <w:r w:rsidRPr="00BE5F8A">
              <w:rPr>
                <w:rFonts w:eastAsia="Times New Roman" w:cs="Calibri"/>
                <w:color w:val="000000"/>
                <w:lang w:eastAsia="hr-HR"/>
              </w:rPr>
              <w:t>Brez</w:t>
            </w:r>
            <w:proofErr w:type="spellEnd"/>
            <w:r w:rsidRPr="00BE5F8A">
              <w:rPr>
                <w:rFonts w:eastAsia="Times New Roman" w:cs="Calibri"/>
                <w:color w:val="000000"/>
                <w:lang w:eastAsia="hr-HR"/>
              </w:rPr>
              <w:t>.</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26.05.20.</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 god</w:t>
            </w:r>
          </w:p>
        </w:tc>
        <w:tc>
          <w:tcPr>
            <w:tcW w:w="1900"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51.000,00</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 xml:space="preserve">MO BRANOVEC-JALŠEVEC, </w:t>
            </w:r>
            <w:proofErr w:type="spellStart"/>
            <w:r w:rsidRPr="00BE5F8A">
              <w:rPr>
                <w:rFonts w:eastAsia="Times New Roman" w:cs="Calibri"/>
                <w:color w:val="000000"/>
                <w:lang w:eastAsia="hr-HR"/>
              </w:rPr>
              <w:t>Branovečka</w:t>
            </w:r>
            <w:proofErr w:type="spellEnd"/>
            <w:r w:rsidRPr="00BE5F8A">
              <w:rPr>
                <w:rFonts w:eastAsia="Times New Roman" w:cs="Calibri"/>
                <w:color w:val="000000"/>
                <w:lang w:eastAsia="hr-HR"/>
              </w:rPr>
              <w:t xml:space="preserve"> cesta 94</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14.08.20.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10.500,00</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MO KOZARI BOK, Kozari put 3, odvojak 2</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24.08.20.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40.000,00</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 xml:space="preserve">MO RESNIČKI GAJ, </w:t>
            </w:r>
            <w:proofErr w:type="spellStart"/>
            <w:r w:rsidRPr="00BE5F8A">
              <w:rPr>
                <w:rFonts w:eastAsia="Times New Roman" w:cs="Calibri"/>
                <w:color w:val="000000"/>
                <w:lang w:eastAsia="hr-HR"/>
              </w:rPr>
              <w:t>Čulinečka</w:t>
            </w:r>
            <w:proofErr w:type="spellEnd"/>
            <w:r w:rsidRPr="00BE5F8A">
              <w:rPr>
                <w:rFonts w:eastAsia="Times New Roman" w:cs="Calibri"/>
                <w:color w:val="000000"/>
                <w:lang w:eastAsia="hr-HR"/>
              </w:rPr>
              <w:t xml:space="preserve"> cesta 230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01.04.20.</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4.400,00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6.</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MO MIMARA, Vodnikova 15</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31.03.15.</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56.548,80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7.</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MO GORNJI GRAD, Opatička 16</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31.03.15.</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216.443,04</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8.</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MO ANDRIJA MEDULIĆ, Medulićeva 30</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07.11.16.</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75.068,56</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9.</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MO HAVIDIĆI, KUT 1</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24.08.20.</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 xml:space="preserve"> 2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60.000,00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10.</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MO MAKSIMIRSKA NASELJA IV., M. naselje 29</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31.10.18.</w:t>
            </w: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595.000,00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11.</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UREDSKI PR., AV. DUBROVNIK 15</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12.02.19.</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 god</w:t>
            </w: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3.950.812,50</w:t>
            </w:r>
          </w:p>
        </w:tc>
      </w:tr>
      <w:tr w:rsidR="00A234C4" w:rsidRPr="00BE5F8A" w:rsidTr="00F7108F">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12.</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ZAGREBAČKI VELESAJAM - RAZVOJNA AG.</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24.10.16.</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24.864.733,49</w:t>
            </w:r>
          </w:p>
        </w:tc>
      </w:tr>
      <w:tr w:rsidR="00A234C4" w:rsidRPr="00BE5F8A" w:rsidTr="00F7108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13.</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DV "ŠUMSKA JAGODA"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12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3.558.704,08</w:t>
            </w:r>
          </w:p>
        </w:tc>
      </w:tr>
      <w:tr w:rsidR="00A234C4" w:rsidRPr="00BE5F8A" w:rsidTr="00F7108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14.</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DV "EN TEN TINI"</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2009</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12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9.357.344,28</w:t>
            </w:r>
          </w:p>
        </w:tc>
      </w:tr>
      <w:tr w:rsidR="00A234C4" w:rsidRPr="00BE5F8A" w:rsidTr="00F7108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15.</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OŠ JELKOVEC</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2009</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12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5.014.192,72</w:t>
            </w:r>
          </w:p>
        </w:tc>
      </w:tr>
      <w:tr w:rsidR="00A234C4" w:rsidRPr="00BE5F8A" w:rsidTr="00F7108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16.</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DV "ŠEGRT HLAPIĆ"</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2010</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12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6.216.839,03</w:t>
            </w:r>
          </w:p>
        </w:tc>
      </w:tr>
      <w:tr w:rsidR="00A234C4" w:rsidRPr="00BE5F8A" w:rsidTr="00F7108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17.</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OŠ I DV VRBANI</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42.528.294,45</w:t>
            </w:r>
          </w:p>
        </w:tc>
      </w:tr>
      <w:tr w:rsidR="00A234C4" w:rsidRPr="00BE5F8A" w:rsidTr="00F7108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18.</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SŠ JELKOVEC</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2009</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12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232.264.129,65</w:t>
            </w:r>
          </w:p>
        </w:tc>
      </w:tr>
      <w:tr w:rsidR="00A234C4" w:rsidRPr="00BE5F8A" w:rsidTr="00F7108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19.</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OŠ IVER, DVORANA I BAZEN</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 </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59.802.254,37</w:t>
            </w:r>
          </w:p>
        </w:tc>
      </w:tr>
      <w:tr w:rsidR="00A234C4" w:rsidRPr="00BE5F8A" w:rsidTr="00F7108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20.</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OŠ HRVATSKI LESKOVAC - ZGH</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2018</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13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78.930.569,63</w:t>
            </w:r>
          </w:p>
        </w:tc>
      </w:tr>
      <w:tr w:rsidR="00A234C4" w:rsidRPr="00BE5F8A" w:rsidTr="001450C6">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21.</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OŠ A. STEPINCA</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2017</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19.993.909,53</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22.</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POSL.PROST.ZA OŠ JELKOVEC</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2016</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 xml:space="preserve">7,5 g. </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2.326.933,86</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23.</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GLAZBENA ŠKOLA Z.GRGOŠEVIĆA</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2013</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15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3.299.663,71</w:t>
            </w:r>
          </w:p>
        </w:tc>
      </w:tr>
      <w:tr w:rsidR="00A234C4" w:rsidRPr="00BE5F8A" w:rsidTr="00BE5F8A">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24.</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CENTAR GOLJAK</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2016</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7.425.000,00</w:t>
            </w:r>
          </w:p>
        </w:tc>
      </w:tr>
      <w:tr w:rsidR="00A234C4" w:rsidRPr="00BE5F8A" w:rsidTr="00BE5F8A">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25.</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DV JARUN (BAJKA)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15.277.440,93</w:t>
            </w:r>
          </w:p>
        </w:tc>
      </w:tr>
      <w:tr w:rsidR="00A234C4" w:rsidRPr="00BE5F8A" w:rsidTr="00BE5F8A">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26.</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DV MARKUŠEVEC</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2012</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15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21.657.372,73</w:t>
            </w:r>
          </w:p>
        </w:tc>
      </w:tr>
      <w:tr w:rsidR="00A234C4" w:rsidRPr="00BE5F8A" w:rsidTr="00BE5F8A">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27.</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DV TRATINČICA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2016</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11.093.333,34</w:t>
            </w:r>
          </w:p>
        </w:tc>
      </w:tr>
      <w:tr w:rsidR="00A234C4" w:rsidRPr="00BE5F8A" w:rsidTr="00BE5F8A">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28.</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DV V.NAZOR</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5.547.902,83</w:t>
            </w:r>
          </w:p>
        </w:tc>
      </w:tr>
      <w:tr w:rsidR="00A234C4" w:rsidRPr="00BE5F8A" w:rsidTr="00BE5F8A">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29.</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DV T. MARINIĆ</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2006</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3.360.000,00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30.</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CENTAR GOLJAK - BRIMUS d.o.o.</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2019</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7.486.770,00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31.</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BAZENI SVETICE</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2016</w:t>
            </w: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7 god</w:t>
            </w: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114.905.510,21</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32.</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PARON, DV DUGA</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9.537.638,17</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33.</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URED SPORT.ZAJEDNICE I SAVEZA GRADA</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21.2.14.</w:t>
            </w: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 god</w:t>
            </w: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14.609.297,97</w:t>
            </w:r>
          </w:p>
        </w:tc>
      </w:tr>
      <w:tr w:rsidR="00A234C4" w:rsidRPr="00BE5F8A" w:rsidTr="001450C6">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34.</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ZG. ARENA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2008.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28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913.800.562,50</w:t>
            </w:r>
          </w:p>
        </w:tc>
      </w:tr>
      <w:tr w:rsidR="00A234C4" w:rsidRPr="00BE5F8A" w:rsidTr="001450C6">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35.</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ZG. VELESAJAM-PAVILJON 40</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01.08.17.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1.463.665,34</w:t>
            </w:r>
          </w:p>
        </w:tc>
      </w:tr>
      <w:tr w:rsidR="00A234C4" w:rsidRPr="00BE5F8A" w:rsidTr="001450C6">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lastRenderedPageBreak/>
              <w:t>36.</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ZG. VELESAJAM-PAVILJON 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04.10.17.</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 god</w:t>
            </w:r>
          </w:p>
        </w:tc>
        <w:tc>
          <w:tcPr>
            <w:tcW w:w="1900" w:type="dxa"/>
            <w:tcBorders>
              <w:top w:val="single" w:sz="4" w:space="0" w:color="auto"/>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1.031.729,40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37.</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ZG. VELESAJAM-PAVILJON 18</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17.07.17.</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13.916.852,84</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38.</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NOG. IGRALIŠTE SC LUČKO</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22.02.18.</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8.331.250,00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39.</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SC LUČKO DVORANA ZA GIMNASTIKU</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08.05.18.</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9.155.875,00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40.</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INDEKSACIJA ARENE</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2018.</w:t>
            </w: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2.214.712,19</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41.</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ZAKUP ZEMLJIŠTA RC BUNDEK</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30.12.19.</w:t>
            </w: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531.331,44</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42.</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ZS NOVI JELKOVEC</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2013.</w:t>
            </w: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2.971.883,00</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43.</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SKLADIŠNI PROSTOR, ZAGREBAČKI HOLDING</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17.01.20.</w:t>
            </w: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1.938.091,26</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44.</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SOP. JELKOVEC 1300 STANOVA</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 </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15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456.009.951,54</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45.</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SOP. JELKOVEC 578 STANOVA</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 </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180.437.801,37</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46.</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SOP. JELKOVEC - INFRASTRUKTURA</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 </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64.540.337,09</w:t>
            </w:r>
          </w:p>
        </w:tc>
      </w:tr>
      <w:tr w:rsidR="00A234C4" w:rsidRPr="00BE5F8A" w:rsidTr="00DE021B">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47.</w:t>
            </w:r>
          </w:p>
        </w:tc>
        <w:tc>
          <w:tcPr>
            <w:tcW w:w="454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ILICA 28</w:t>
            </w:r>
          </w:p>
        </w:tc>
        <w:tc>
          <w:tcPr>
            <w:tcW w:w="1062"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 </w:t>
            </w:r>
          </w:p>
        </w:tc>
        <w:tc>
          <w:tcPr>
            <w:tcW w:w="1075"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TRAJNO</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295.213,32</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48.</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ZGB STANOGRADNJA,PODBREŽJE,314 STANOVA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6.6.18.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200.055.602,29</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49.</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POSL. PR. REMETINEČKI GAJ 14</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20.01.12.</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TRAJNO</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36.450,00</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50.</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MALI DOM</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5.12.08.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12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4.909.442,00</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51.</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KNJIŽNICA NOVI JELKOVEC</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2012.</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7.251.318,01</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52.</w:t>
            </w:r>
          </w:p>
        </w:tc>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PAVILJON 2 - ZAG.VELESAJAM</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2018.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336.970,00</w:t>
            </w:r>
          </w:p>
        </w:tc>
      </w:tr>
      <w:tr w:rsidR="00A234C4" w:rsidRPr="00BE5F8A" w:rsidTr="00DE021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53.</w:t>
            </w:r>
          </w:p>
        </w:tc>
        <w:tc>
          <w:tcPr>
            <w:tcW w:w="4541"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RADNIČKA 20</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15.07.19.</w:t>
            </w:r>
          </w:p>
        </w:tc>
        <w:tc>
          <w:tcPr>
            <w:tcW w:w="1075"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8.266.966,85</w:t>
            </w:r>
          </w:p>
        </w:tc>
      </w:tr>
      <w:tr w:rsidR="00A234C4" w:rsidRPr="00BE5F8A" w:rsidTr="001450C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54.</w:t>
            </w:r>
          </w:p>
        </w:tc>
        <w:tc>
          <w:tcPr>
            <w:tcW w:w="4541"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PAVILJON 34 - ZAG.VELESAJAM</w:t>
            </w:r>
          </w:p>
        </w:tc>
        <w:tc>
          <w:tcPr>
            <w:tcW w:w="1062"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09.11.20.</w:t>
            </w:r>
          </w:p>
        </w:tc>
        <w:tc>
          <w:tcPr>
            <w:tcW w:w="1075"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5 god</w:t>
            </w:r>
          </w:p>
        </w:tc>
        <w:tc>
          <w:tcPr>
            <w:tcW w:w="1900"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767.000,00</w:t>
            </w:r>
          </w:p>
        </w:tc>
      </w:tr>
      <w:tr w:rsidR="00A234C4" w:rsidRPr="00BE5F8A" w:rsidTr="001450C6">
        <w:trPr>
          <w:trHeight w:val="290"/>
        </w:trPr>
        <w:tc>
          <w:tcPr>
            <w:tcW w:w="460" w:type="dxa"/>
            <w:tcBorders>
              <w:top w:val="single" w:sz="8" w:space="0" w:color="auto"/>
              <w:left w:val="single" w:sz="8" w:space="0" w:color="auto"/>
              <w:bottom w:val="single" w:sz="8" w:space="0" w:color="auto"/>
              <w:right w:val="nil"/>
            </w:tcBorders>
            <w:shd w:val="clear" w:color="auto" w:fill="DEEAF6" w:themeFill="accent1" w:themeFillTint="33"/>
            <w:noWrap/>
            <w:vAlign w:val="center"/>
            <w:hideMark/>
          </w:tcPr>
          <w:p w:rsidR="00A234C4" w:rsidRPr="00BE5F8A" w:rsidRDefault="00A234C4" w:rsidP="001450C6">
            <w:pPr>
              <w:spacing w:after="0" w:line="240" w:lineRule="auto"/>
              <w:rPr>
                <w:rFonts w:eastAsia="Times New Roman" w:cs="Calibri"/>
                <w:color w:val="000000"/>
                <w:lang w:eastAsia="hr-HR"/>
              </w:rPr>
            </w:pPr>
            <w:r w:rsidRPr="00BE5F8A">
              <w:rPr>
                <w:rFonts w:eastAsia="Times New Roman" w:cs="Calibri"/>
                <w:color w:val="000000"/>
                <w:lang w:eastAsia="hr-HR"/>
              </w:rPr>
              <w:t> </w:t>
            </w:r>
          </w:p>
        </w:tc>
        <w:tc>
          <w:tcPr>
            <w:tcW w:w="4541" w:type="dxa"/>
            <w:tcBorders>
              <w:top w:val="single" w:sz="8" w:space="0" w:color="auto"/>
              <w:left w:val="nil"/>
              <w:bottom w:val="single" w:sz="8" w:space="0" w:color="auto"/>
              <w:right w:val="nil"/>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bCs/>
                <w:color w:val="000000"/>
                <w:lang w:eastAsia="hr-HR"/>
              </w:rPr>
            </w:pPr>
            <w:r w:rsidRPr="00BE5F8A">
              <w:rPr>
                <w:rFonts w:eastAsia="Times New Roman" w:cs="Calibri"/>
                <w:bCs/>
                <w:color w:val="000000"/>
                <w:lang w:eastAsia="hr-HR"/>
              </w:rPr>
              <w:t xml:space="preserve">UKUPNO </w:t>
            </w:r>
          </w:p>
        </w:tc>
        <w:tc>
          <w:tcPr>
            <w:tcW w:w="1062" w:type="dxa"/>
            <w:tcBorders>
              <w:top w:val="single" w:sz="8" w:space="0" w:color="auto"/>
              <w:left w:val="nil"/>
              <w:bottom w:val="single" w:sz="8" w:space="0" w:color="auto"/>
              <w:right w:val="nil"/>
            </w:tcBorders>
            <w:shd w:val="clear" w:color="auto" w:fill="DEEAF6" w:themeFill="accent1" w:themeFillTint="33"/>
            <w:noWrap/>
            <w:vAlign w:val="center"/>
            <w:hideMark/>
          </w:tcPr>
          <w:p w:rsidR="00A234C4" w:rsidRPr="00BE5F8A" w:rsidRDefault="00A234C4" w:rsidP="001450C6">
            <w:pPr>
              <w:spacing w:after="0" w:line="240" w:lineRule="auto"/>
              <w:rPr>
                <w:rFonts w:eastAsia="Times New Roman" w:cs="Calibri"/>
                <w:bCs/>
                <w:color w:val="000000"/>
                <w:lang w:eastAsia="hr-HR"/>
              </w:rPr>
            </w:pPr>
            <w:r w:rsidRPr="00BE5F8A">
              <w:rPr>
                <w:rFonts w:eastAsia="Times New Roman" w:cs="Calibri"/>
                <w:bCs/>
                <w:color w:val="000000"/>
                <w:lang w:eastAsia="hr-HR"/>
              </w:rPr>
              <w:t> </w:t>
            </w:r>
          </w:p>
        </w:tc>
        <w:tc>
          <w:tcPr>
            <w:tcW w:w="1075" w:type="dxa"/>
            <w:tcBorders>
              <w:top w:val="single" w:sz="8" w:space="0" w:color="auto"/>
              <w:left w:val="nil"/>
              <w:bottom w:val="single" w:sz="8" w:space="0" w:color="auto"/>
              <w:right w:val="nil"/>
            </w:tcBorders>
            <w:shd w:val="clear" w:color="auto" w:fill="DEEAF6" w:themeFill="accent1" w:themeFillTint="33"/>
            <w:noWrap/>
            <w:vAlign w:val="center"/>
            <w:hideMark/>
          </w:tcPr>
          <w:p w:rsidR="00A234C4" w:rsidRPr="00BE5F8A" w:rsidRDefault="00A234C4" w:rsidP="001450C6">
            <w:pPr>
              <w:spacing w:after="0" w:line="240" w:lineRule="auto"/>
              <w:rPr>
                <w:rFonts w:eastAsia="Times New Roman" w:cs="Calibri"/>
                <w:bCs/>
                <w:color w:val="000000"/>
                <w:lang w:eastAsia="hr-HR"/>
              </w:rPr>
            </w:pPr>
            <w:r w:rsidRPr="00BE5F8A">
              <w:rPr>
                <w:rFonts w:eastAsia="Times New Roman" w:cs="Calibri"/>
                <w:bCs/>
                <w:color w:val="000000"/>
                <w:lang w:eastAsia="hr-HR"/>
              </w:rPr>
              <w:t> </w:t>
            </w:r>
          </w:p>
        </w:tc>
        <w:tc>
          <w:tcPr>
            <w:tcW w:w="1900" w:type="dxa"/>
            <w:tcBorders>
              <w:top w:val="single" w:sz="8" w:space="0" w:color="auto"/>
              <w:left w:val="nil"/>
              <w:bottom w:val="single" w:sz="8" w:space="0" w:color="auto"/>
              <w:right w:val="single" w:sz="8" w:space="0" w:color="auto"/>
            </w:tcBorders>
            <w:shd w:val="clear" w:color="auto" w:fill="DEEAF6" w:themeFill="accent1" w:themeFillTint="33"/>
            <w:noWrap/>
            <w:vAlign w:val="center"/>
            <w:hideMark/>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2.582.387.966,31</w:t>
            </w:r>
          </w:p>
        </w:tc>
      </w:tr>
    </w:tbl>
    <w:p w:rsidR="00F7108F" w:rsidRPr="00BE5F8A" w:rsidRDefault="00F7108F" w:rsidP="00A234C4">
      <w:pPr>
        <w:spacing w:after="120"/>
        <w:jc w:val="both"/>
        <w:rPr>
          <w:rFonts w:eastAsia="Times New Roman" w:cstheme="minorHAnsi"/>
          <w:lang w:eastAsia="hr-HR"/>
        </w:rPr>
      </w:pPr>
    </w:p>
    <w:p w:rsidR="00FA75D6" w:rsidRDefault="00FA75D6" w:rsidP="00A234C4">
      <w:pPr>
        <w:spacing w:after="120"/>
        <w:ind w:firstLine="708"/>
        <w:jc w:val="both"/>
        <w:rPr>
          <w:rFonts w:eastAsia="Times New Roman" w:cstheme="minorHAnsi"/>
          <w:lang w:eastAsia="hr-HR"/>
        </w:rPr>
      </w:pPr>
    </w:p>
    <w:p w:rsidR="00A234C4" w:rsidRPr="00BE5F8A" w:rsidRDefault="00A234C4" w:rsidP="00A234C4">
      <w:pPr>
        <w:spacing w:after="120"/>
        <w:ind w:firstLine="708"/>
        <w:jc w:val="both"/>
        <w:rPr>
          <w:rFonts w:eastAsia="Times New Roman" w:cstheme="minorHAnsi"/>
          <w:lang w:eastAsia="hr-HR"/>
        </w:rPr>
      </w:pPr>
      <w:r w:rsidRPr="00BE5F8A">
        <w:rPr>
          <w:rFonts w:eastAsia="Times New Roman" w:cstheme="minorHAnsi"/>
          <w:lang w:eastAsia="hr-HR"/>
        </w:rPr>
        <w:t>I.2.</w:t>
      </w:r>
      <w:r w:rsidRPr="00BE5F8A">
        <w:rPr>
          <w:rFonts w:eastAsia="Times New Roman" w:cstheme="minorHAnsi"/>
          <w:lang w:eastAsia="hr-HR"/>
        </w:rPr>
        <w:tab/>
        <w:t xml:space="preserve">DANE SUGLASNOSTI </w:t>
      </w:r>
    </w:p>
    <w:p w:rsidR="00BE5F8A" w:rsidRDefault="00A234C4" w:rsidP="00F7108F">
      <w:pPr>
        <w:spacing w:after="0"/>
        <w:jc w:val="both"/>
        <w:rPr>
          <w:rFonts w:eastAsia="Times New Roman" w:cstheme="minorHAnsi"/>
          <w:lang w:eastAsia="hr-HR"/>
        </w:rPr>
      </w:pPr>
      <w:r w:rsidRPr="00BE5F8A">
        <w:rPr>
          <w:rFonts w:eastAsia="Times New Roman" w:cstheme="minorHAnsi"/>
          <w:lang w:eastAsia="hr-HR"/>
        </w:rPr>
        <w:t xml:space="preserve"> U 2020. godini iskorišteni iznosi kredita iznose 1.917.000.000 kn, otplaćeno je 1.164.155.469 kn, te je stanje obveza po danim suglasnostima na dan 31.12.2020. godine </w:t>
      </w:r>
      <w:r w:rsidRPr="00BE5F8A">
        <w:rPr>
          <w:rFonts w:eastAsia="Times New Roman" w:cs="Calibri"/>
          <w:bCs/>
          <w:color w:val="000000"/>
          <w:lang w:eastAsia="hr-HR"/>
        </w:rPr>
        <w:t>753.879.543</w:t>
      </w:r>
      <w:r w:rsidR="00F7108F">
        <w:rPr>
          <w:rFonts w:eastAsia="Times New Roman" w:cstheme="minorHAnsi"/>
          <w:lang w:eastAsia="hr-HR"/>
        </w:rPr>
        <w:t xml:space="preserve"> kuna. </w:t>
      </w:r>
    </w:p>
    <w:p w:rsidR="00F7108F" w:rsidRPr="00F7108F" w:rsidRDefault="00F7108F" w:rsidP="00F7108F">
      <w:pPr>
        <w:spacing w:after="0"/>
        <w:jc w:val="both"/>
        <w:rPr>
          <w:rFonts w:eastAsia="Times New Roman" w:cstheme="minorHAnsi"/>
          <w:lang w:eastAsia="hr-HR"/>
        </w:rPr>
      </w:pPr>
    </w:p>
    <w:p w:rsidR="00A234C4" w:rsidRPr="00BE5F8A" w:rsidRDefault="00A234C4" w:rsidP="00A234C4">
      <w:pPr>
        <w:spacing w:after="0" w:line="240" w:lineRule="auto"/>
        <w:jc w:val="both"/>
        <w:rPr>
          <w:rFonts w:eastAsia="Times New Roman" w:cstheme="minorHAnsi"/>
          <w:lang w:eastAsia="hr-HR"/>
        </w:rPr>
      </w:pPr>
      <w:bookmarkStart w:id="4" w:name="_Hlk32315554"/>
      <w:r w:rsidRPr="00BE5F8A">
        <w:rPr>
          <w:rFonts w:eastAsia="Times New Roman" w:cstheme="minorHAnsi"/>
          <w:lang w:eastAsia="hr-HR"/>
        </w:rPr>
        <w:t>Pregled stanja izdanih suglasnosti na dan 31.12.2020.:</w:t>
      </w:r>
    </w:p>
    <w:p w:rsidR="00A234C4" w:rsidRPr="00BE5F8A" w:rsidRDefault="00A234C4" w:rsidP="00A234C4">
      <w:pPr>
        <w:spacing w:after="0" w:line="240" w:lineRule="auto"/>
        <w:jc w:val="both"/>
        <w:rPr>
          <w:rFonts w:eastAsia="Times New Roman" w:cstheme="minorHAnsi"/>
          <w:lang w:eastAsia="hr-HR"/>
        </w:rPr>
      </w:pPr>
    </w:p>
    <w:tbl>
      <w:tblPr>
        <w:tblW w:w="7520" w:type="dxa"/>
        <w:jc w:val="center"/>
        <w:tblLook w:val="04A0" w:firstRow="1" w:lastRow="0" w:firstColumn="1" w:lastColumn="0" w:noHBand="0" w:noVBand="1"/>
      </w:tblPr>
      <w:tblGrid>
        <w:gridCol w:w="520"/>
        <w:gridCol w:w="4940"/>
        <w:gridCol w:w="2060"/>
      </w:tblGrid>
      <w:tr w:rsidR="00A234C4" w:rsidRPr="00BE5F8A" w:rsidTr="001450C6">
        <w:trPr>
          <w:trHeight w:val="305"/>
          <w:jc w:val="center"/>
        </w:trPr>
        <w:tc>
          <w:tcPr>
            <w:tcW w:w="5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RB</w:t>
            </w:r>
          </w:p>
        </w:tc>
        <w:tc>
          <w:tcPr>
            <w:tcW w:w="494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KORISNIK</w:t>
            </w:r>
          </w:p>
        </w:tc>
        <w:tc>
          <w:tcPr>
            <w:tcW w:w="20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STANJE 31.12.20.</w:t>
            </w:r>
          </w:p>
        </w:tc>
      </w:tr>
      <w:tr w:rsidR="00A234C4" w:rsidRPr="00BE5F8A" w:rsidTr="001450C6">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1.</w:t>
            </w:r>
          </w:p>
        </w:tc>
        <w:tc>
          <w:tcPr>
            <w:tcW w:w="4940" w:type="dxa"/>
            <w:tcBorders>
              <w:top w:val="nil"/>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 xml:space="preserve">ZAGREBAČKI HOLDING d.o.o.  podružnica  </w:t>
            </w:r>
            <w:proofErr w:type="spellStart"/>
            <w:r w:rsidRPr="00BE5F8A">
              <w:rPr>
                <w:rFonts w:eastAsia="Times New Roman" w:cs="Calibri"/>
                <w:bCs/>
                <w:lang w:eastAsia="hr-HR"/>
              </w:rPr>
              <w:t>Zagrebparking</w:t>
            </w:r>
            <w:proofErr w:type="spellEnd"/>
          </w:p>
        </w:tc>
        <w:tc>
          <w:tcPr>
            <w:tcW w:w="2060" w:type="dxa"/>
            <w:tcBorders>
              <w:top w:val="nil"/>
              <w:left w:val="nil"/>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15.731.118</w:t>
            </w:r>
          </w:p>
        </w:tc>
      </w:tr>
      <w:tr w:rsidR="00A234C4" w:rsidRPr="00BE5F8A" w:rsidTr="001450C6">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2.</w:t>
            </w:r>
          </w:p>
        </w:tc>
        <w:tc>
          <w:tcPr>
            <w:tcW w:w="4940" w:type="dxa"/>
            <w:tcBorders>
              <w:top w:val="nil"/>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ZAGREBAČKI HOLDING d.o.o.  podružnica Upravljanje projektima</w:t>
            </w:r>
          </w:p>
        </w:tc>
        <w:tc>
          <w:tcPr>
            <w:tcW w:w="2060" w:type="dxa"/>
            <w:tcBorders>
              <w:top w:val="nil"/>
              <w:left w:val="nil"/>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210.000.000</w:t>
            </w:r>
          </w:p>
        </w:tc>
      </w:tr>
      <w:tr w:rsidR="00A234C4" w:rsidRPr="00BE5F8A" w:rsidTr="001450C6">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3.</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 xml:space="preserve">ZAGREBAČKI HOLDING d.o.o.  Projekt </w:t>
            </w:r>
            <w:proofErr w:type="spellStart"/>
            <w:r w:rsidRPr="00BE5F8A">
              <w:rPr>
                <w:rFonts w:eastAsia="Times New Roman" w:cs="Calibri"/>
                <w:bCs/>
                <w:lang w:eastAsia="hr-HR"/>
              </w:rPr>
              <w:t>Podbrežje</w:t>
            </w:r>
            <w:proofErr w:type="spellEnd"/>
            <w:r w:rsidRPr="00BE5F8A">
              <w:rPr>
                <w:rFonts w:eastAsia="Times New Roman" w:cs="Calibri"/>
                <w:bCs/>
                <w:lang w:eastAsia="hr-HR"/>
              </w:rPr>
              <w:t xml:space="preserve">     - 1. faza</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166.111.111</w:t>
            </w:r>
          </w:p>
        </w:tc>
      </w:tr>
      <w:tr w:rsidR="00A234C4" w:rsidRPr="00BE5F8A" w:rsidTr="001450C6">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4.</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 xml:space="preserve">ZAGREBAČKI HOLDING d.o.o.  </w:t>
            </w:r>
            <w:proofErr w:type="spellStart"/>
            <w:r w:rsidRPr="00BE5F8A">
              <w:rPr>
                <w:rFonts w:eastAsia="Times New Roman" w:cs="Calibri"/>
                <w:bCs/>
                <w:lang w:eastAsia="hr-HR"/>
              </w:rPr>
              <w:t>KentBank</w:t>
            </w:r>
            <w:proofErr w:type="spellEnd"/>
            <w:r w:rsidRPr="00BE5F8A">
              <w:rPr>
                <w:rFonts w:eastAsia="Times New Roman" w:cs="Calibri"/>
                <w:bCs/>
                <w:lang w:eastAsia="hr-HR"/>
              </w:rPr>
              <w:t xml:space="preserve"> </w:t>
            </w:r>
            <w:proofErr w:type="spellStart"/>
            <w:r w:rsidRPr="00BE5F8A">
              <w:rPr>
                <w:rFonts w:eastAsia="Times New Roman" w:cs="Calibri"/>
                <w:bCs/>
                <w:lang w:eastAsia="hr-HR"/>
              </w:rPr>
              <w:t>d.d</w:t>
            </w:r>
            <w:proofErr w:type="spellEnd"/>
            <w:r w:rsidRPr="00BE5F8A">
              <w:rPr>
                <w:rFonts w:eastAsia="Times New Roman" w:cs="Calibri"/>
                <w:bCs/>
                <w:lang w:eastAsia="hr-HR"/>
              </w:rPr>
              <w:t xml:space="preserve"> - financiranje investicijskog ciklusa</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35.000.000</w:t>
            </w:r>
          </w:p>
        </w:tc>
      </w:tr>
      <w:tr w:rsidR="00A234C4" w:rsidRPr="00BE5F8A" w:rsidTr="001450C6">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5.</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 xml:space="preserve">ZAGREBAČKI HOLDING d.o.o.  </w:t>
            </w:r>
            <w:proofErr w:type="spellStart"/>
            <w:r w:rsidRPr="00BE5F8A">
              <w:rPr>
                <w:rFonts w:eastAsia="Times New Roman" w:cs="Calibri"/>
                <w:bCs/>
                <w:lang w:eastAsia="hr-HR"/>
              </w:rPr>
              <w:t>Imex</w:t>
            </w:r>
            <w:proofErr w:type="spellEnd"/>
            <w:r w:rsidRPr="00BE5F8A">
              <w:rPr>
                <w:rFonts w:eastAsia="Times New Roman" w:cs="Calibri"/>
                <w:bCs/>
                <w:lang w:eastAsia="hr-HR"/>
              </w:rPr>
              <w:t xml:space="preserve"> Banka </w:t>
            </w:r>
            <w:proofErr w:type="spellStart"/>
            <w:r w:rsidRPr="00BE5F8A">
              <w:rPr>
                <w:rFonts w:eastAsia="Times New Roman" w:cs="Calibri"/>
                <w:bCs/>
                <w:lang w:eastAsia="hr-HR"/>
              </w:rPr>
              <w:t>d.d</w:t>
            </w:r>
            <w:proofErr w:type="spellEnd"/>
            <w:r w:rsidRPr="00BE5F8A">
              <w:rPr>
                <w:rFonts w:eastAsia="Times New Roman" w:cs="Calibri"/>
                <w:bCs/>
                <w:lang w:eastAsia="hr-HR"/>
              </w:rPr>
              <w:t xml:space="preserve"> - financiranje investicijskog ciklusa</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17.777.148</w:t>
            </w:r>
          </w:p>
        </w:tc>
      </w:tr>
      <w:tr w:rsidR="00A234C4" w:rsidRPr="00BE5F8A" w:rsidTr="001450C6">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6.</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 xml:space="preserve">ZAGREBAČKI HOLDING d.o.o.  </w:t>
            </w:r>
            <w:proofErr w:type="spellStart"/>
            <w:r w:rsidRPr="00BE5F8A">
              <w:rPr>
                <w:rFonts w:eastAsia="Times New Roman" w:cs="Calibri"/>
                <w:bCs/>
                <w:lang w:eastAsia="hr-HR"/>
              </w:rPr>
              <w:t>Sberbank</w:t>
            </w:r>
            <w:proofErr w:type="spellEnd"/>
            <w:r w:rsidRPr="00BE5F8A">
              <w:rPr>
                <w:rFonts w:eastAsia="Times New Roman" w:cs="Calibri"/>
                <w:bCs/>
                <w:lang w:eastAsia="hr-HR"/>
              </w:rPr>
              <w:t xml:space="preserve"> </w:t>
            </w:r>
            <w:proofErr w:type="spellStart"/>
            <w:r w:rsidRPr="00BE5F8A">
              <w:rPr>
                <w:rFonts w:eastAsia="Times New Roman" w:cs="Calibri"/>
                <w:bCs/>
                <w:lang w:eastAsia="hr-HR"/>
              </w:rPr>
              <w:t>d.d</w:t>
            </w:r>
            <w:proofErr w:type="spellEnd"/>
            <w:r w:rsidRPr="00BE5F8A">
              <w:rPr>
                <w:rFonts w:eastAsia="Times New Roman" w:cs="Calibri"/>
                <w:bCs/>
                <w:lang w:eastAsia="hr-HR"/>
              </w:rPr>
              <w:t xml:space="preserve"> - financiranje investicijskog ciklusa</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36.430.066</w:t>
            </w:r>
          </w:p>
        </w:tc>
      </w:tr>
      <w:tr w:rsidR="00A234C4" w:rsidRPr="00BE5F8A" w:rsidTr="001450C6">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7.</w:t>
            </w:r>
          </w:p>
        </w:tc>
        <w:tc>
          <w:tcPr>
            <w:tcW w:w="4940" w:type="dxa"/>
            <w:tcBorders>
              <w:top w:val="single" w:sz="4" w:space="0" w:color="auto"/>
              <w:left w:val="nil"/>
              <w:bottom w:val="single" w:sz="4" w:space="0" w:color="auto"/>
              <w:right w:val="single" w:sz="4" w:space="0" w:color="auto"/>
            </w:tcBorders>
            <w:shd w:val="clear" w:color="auto" w:fill="auto"/>
            <w:vAlign w:val="center"/>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Zagrebački Velesajam d.o.o. Investicijski kredit</w:t>
            </w: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10.330.100</w:t>
            </w:r>
          </w:p>
        </w:tc>
      </w:tr>
      <w:tr w:rsidR="00A234C4" w:rsidRPr="00BE5F8A" w:rsidTr="001450C6">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lastRenderedPageBreak/>
              <w:t>8.</w:t>
            </w:r>
          </w:p>
        </w:tc>
        <w:tc>
          <w:tcPr>
            <w:tcW w:w="4940" w:type="dxa"/>
            <w:tcBorders>
              <w:top w:val="single" w:sz="4" w:space="0" w:color="auto"/>
              <w:left w:val="nil"/>
              <w:bottom w:val="single" w:sz="4" w:space="0" w:color="auto"/>
              <w:right w:val="single" w:sz="4" w:space="0" w:color="auto"/>
            </w:tcBorders>
            <w:shd w:val="clear" w:color="auto" w:fill="auto"/>
            <w:vAlign w:val="center"/>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 xml:space="preserve">ZAGREBAČKI HOLDING d.o.o. Investicijski kredit - Erste &amp; </w:t>
            </w:r>
            <w:proofErr w:type="spellStart"/>
            <w:r w:rsidRPr="00BE5F8A">
              <w:rPr>
                <w:rFonts w:eastAsia="Times New Roman" w:cs="Calibri"/>
                <w:bCs/>
                <w:lang w:eastAsia="hr-HR"/>
              </w:rPr>
              <w:t>steiermarkische</w:t>
            </w:r>
            <w:proofErr w:type="spellEnd"/>
            <w:r w:rsidRPr="00BE5F8A">
              <w:rPr>
                <w:rFonts w:eastAsia="Times New Roman" w:cs="Calibri"/>
                <w:bCs/>
                <w:lang w:eastAsia="hr-HR"/>
              </w:rPr>
              <w:t xml:space="preserve"> </w:t>
            </w:r>
            <w:proofErr w:type="spellStart"/>
            <w:r w:rsidRPr="00BE5F8A">
              <w:rPr>
                <w:rFonts w:eastAsia="Times New Roman" w:cs="Calibri"/>
                <w:bCs/>
                <w:lang w:eastAsia="hr-HR"/>
              </w:rPr>
              <w:t>bank</w:t>
            </w:r>
            <w:proofErr w:type="spellEnd"/>
            <w:r w:rsidRPr="00BE5F8A">
              <w:rPr>
                <w:rFonts w:eastAsia="Times New Roman" w:cs="Calibri"/>
                <w:bCs/>
                <w:lang w:eastAsia="hr-HR"/>
              </w:rPr>
              <w:t xml:space="preserve"> d.d.</w:t>
            </w: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135.000.000</w:t>
            </w:r>
          </w:p>
        </w:tc>
      </w:tr>
      <w:tr w:rsidR="00A234C4" w:rsidRPr="00BE5F8A" w:rsidTr="001450C6">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9.</w:t>
            </w:r>
          </w:p>
        </w:tc>
        <w:tc>
          <w:tcPr>
            <w:tcW w:w="4940" w:type="dxa"/>
            <w:tcBorders>
              <w:top w:val="single" w:sz="4" w:space="0" w:color="auto"/>
              <w:left w:val="nil"/>
              <w:bottom w:val="single" w:sz="4" w:space="0" w:color="auto"/>
              <w:right w:val="single" w:sz="4" w:space="0" w:color="auto"/>
            </w:tcBorders>
            <w:shd w:val="clear" w:color="auto" w:fill="auto"/>
            <w:vAlign w:val="center"/>
          </w:tcPr>
          <w:p w:rsidR="00A234C4" w:rsidRPr="00BE5F8A" w:rsidRDefault="00A234C4" w:rsidP="001450C6">
            <w:pPr>
              <w:spacing w:after="0" w:line="240" w:lineRule="auto"/>
              <w:rPr>
                <w:rFonts w:eastAsia="Times New Roman" w:cs="Calibri"/>
                <w:bCs/>
                <w:lang w:eastAsia="hr-HR"/>
              </w:rPr>
            </w:pPr>
            <w:r w:rsidRPr="00BE5F8A">
              <w:rPr>
                <w:rFonts w:eastAsia="Times New Roman" w:cs="Calibri"/>
                <w:bCs/>
                <w:lang w:eastAsia="hr-HR"/>
              </w:rPr>
              <w:t xml:space="preserve">ZAGREBAČKI HOLDING d.o.o. Investicijski kredit - OTP </w:t>
            </w:r>
            <w:proofErr w:type="spellStart"/>
            <w:r w:rsidRPr="00BE5F8A">
              <w:rPr>
                <w:rFonts w:eastAsia="Times New Roman" w:cs="Calibri"/>
                <w:bCs/>
                <w:lang w:eastAsia="hr-HR"/>
              </w:rPr>
              <w:t>bank</w:t>
            </w:r>
            <w:proofErr w:type="spellEnd"/>
            <w:r w:rsidRPr="00BE5F8A">
              <w:rPr>
                <w:rFonts w:eastAsia="Times New Roman" w:cs="Calibri"/>
                <w:bCs/>
                <w:lang w:eastAsia="hr-HR"/>
              </w:rPr>
              <w:t xml:space="preserve"> d.d.</w:t>
            </w: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127.500.000</w:t>
            </w:r>
          </w:p>
        </w:tc>
      </w:tr>
      <w:tr w:rsidR="00A234C4" w:rsidRPr="00BE5F8A" w:rsidTr="001450C6">
        <w:trPr>
          <w:trHeight w:val="360"/>
          <w:jc w:val="center"/>
        </w:trPr>
        <w:tc>
          <w:tcPr>
            <w:tcW w:w="546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bCs/>
                <w:lang w:eastAsia="hr-HR"/>
              </w:rPr>
            </w:pPr>
            <w:r w:rsidRPr="00BE5F8A">
              <w:rPr>
                <w:rFonts w:eastAsia="Times New Roman" w:cs="Calibri"/>
                <w:bCs/>
                <w:lang w:eastAsia="hr-HR"/>
              </w:rPr>
              <w:t>UKUPNO</w:t>
            </w:r>
          </w:p>
        </w:tc>
        <w:tc>
          <w:tcPr>
            <w:tcW w:w="2060" w:type="dxa"/>
            <w:tcBorders>
              <w:top w:val="nil"/>
              <w:left w:val="nil"/>
              <w:bottom w:val="single" w:sz="4" w:space="0" w:color="auto"/>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right"/>
              <w:rPr>
                <w:rFonts w:eastAsia="Times New Roman" w:cs="Calibri"/>
                <w:bCs/>
                <w:color w:val="000000"/>
                <w:lang w:eastAsia="hr-HR"/>
              </w:rPr>
            </w:pPr>
            <w:r w:rsidRPr="00BE5F8A">
              <w:rPr>
                <w:rFonts w:eastAsia="Times New Roman" w:cs="Calibri"/>
                <w:bCs/>
                <w:color w:val="000000"/>
                <w:lang w:eastAsia="hr-HR"/>
              </w:rPr>
              <w:t>753.879.543</w:t>
            </w:r>
          </w:p>
        </w:tc>
      </w:tr>
      <w:bookmarkEnd w:id="4"/>
    </w:tbl>
    <w:p w:rsidR="00A234C4" w:rsidRPr="00BE5F8A" w:rsidRDefault="00A234C4" w:rsidP="00A234C4">
      <w:pPr>
        <w:spacing w:after="0" w:line="240" w:lineRule="auto"/>
        <w:jc w:val="both"/>
        <w:rPr>
          <w:rFonts w:eastAsia="Times New Roman" w:cstheme="minorHAnsi"/>
          <w:lang w:eastAsia="hr-HR"/>
        </w:rPr>
      </w:pPr>
    </w:p>
    <w:p w:rsidR="00A234C4" w:rsidRPr="00BE5F8A" w:rsidRDefault="00A234C4" w:rsidP="00A234C4">
      <w:pPr>
        <w:spacing w:after="0" w:line="240" w:lineRule="auto"/>
        <w:jc w:val="both"/>
        <w:rPr>
          <w:rFonts w:eastAsia="Times New Roman" w:cstheme="minorHAnsi"/>
          <w:lang w:eastAsia="hr-HR"/>
        </w:rPr>
      </w:pPr>
    </w:p>
    <w:p w:rsidR="00A234C4" w:rsidRPr="00BE5F8A" w:rsidRDefault="00A234C4" w:rsidP="00A234C4">
      <w:pPr>
        <w:spacing w:after="120"/>
        <w:ind w:firstLine="708"/>
        <w:jc w:val="both"/>
        <w:rPr>
          <w:rFonts w:eastAsia="Times New Roman" w:cstheme="minorHAnsi"/>
          <w:lang w:eastAsia="hr-HR"/>
        </w:rPr>
      </w:pPr>
      <w:r w:rsidRPr="00BE5F8A">
        <w:rPr>
          <w:rFonts w:eastAsia="Times New Roman" w:cstheme="minorHAnsi"/>
          <w:lang w:eastAsia="hr-HR"/>
        </w:rPr>
        <w:t xml:space="preserve">I.3. </w:t>
      </w:r>
      <w:r w:rsidRPr="00BE5F8A">
        <w:rPr>
          <w:rFonts w:eastAsia="Times New Roman" w:cstheme="minorHAnsi"/>
          <w:lang w:eastAsia="hr-HR"/>
        </w:rPr>
        <w:tab/>
        <w:t>DANA JAMSTVA</w:t>
      </w:r>
    </w:p>
    <w:p w:rsidR="00DE021B" w:rsidRPr="00BE5F8A" w:rsidRDefault="00A234C4" w:rsidP="00A234C4">
      <w:pPr>
        <w:spacing w:after="0" w:line="240" w:lineRule="auto"/>
        <w:jc w:val="both"/>
        <w:rPr>
          <w:rFonts w:eastAsia="Times New Roman" w:cstheme="minorHAnsi"/>
          <w:lang w:eastAsia="hr-HR"/>
        </w:rPr>
      </w:pPr>
      <w:r w:rsidRPr="00BE5F8A">
        <w:rPr>
          <w:rFonts w:eastAsia="Times New Roman" w:cstheme="minorHAnsi"/>
          <w:lang w:eastAsia="hr-HR"/>
        </w:rPr>
        <w:t>Povučena sredstva po danim jamstvima iznose 460.629.516 kuna, otplaćena 24.619.684 kuna te je stanje danih jamstava veće za 436.009.832 kune u odnosu na dan 1. siječanj 2020. i iznose 2.779.601.407 kuna.</w:t>
      </w:r>
    </w:p>
    <w:p w:rsidR="00A234C4" w:rsidRPr="00BE5F8A" w:rsidRDefault="00A234C4" w:rsidP="00A234C4">
      <w:pPr>
        <w:spacing w:after="0" w:line="240" w:lineRule="auto"/>
        <w:jc w:val="both"/>
        <w:rPr>
          <w:rFonts w:eastAsia="Times New Roman" w:cstheme="minorHAnsi"/>
          <w:lang w:eastAsia="hr-HR"/>
        </w:rPr>
      </w:pPr>
    </w:p>
    <w:p w:rsidR="00A234C4" w:rsidRPr="00BE5F8A" w:rsidRDefault="00A234C4" w:rsidP="00A234C4">
      <w:pPr>
        <w:spacing w:after="0" w:line="240" w:lineRule="auto"/>
        <w:jc w:val="both"/>
        <w:rPr>
          <w:rFonts w:eastAsia="Times New Roman" w:cstheme="minorHAnsi"/>
          <w:lang w:eastAsia="hr-HR"/>
        </w:rPr>
      </w:pPr>
      <w:r w:rsidRPr="00BE5F8A">
        <w:rPr>
          <w:rFonts w:eastAsia="Times New Roman" w:cstheme="minorHAnsi"/>
          <w:lang w:eastAsia="hr-HR"/>
        </w:rPr>
        <w:t>Pregled stanja danih jamstava na dan 31.12.2020.:</w:t>
      </w:r>
    </w:p>
    <w:p w:rsidR="00A234C4" w:rsidRPr="00BE5F8A" w:rsidRDefault="00A234C4" w:rsidP="00A234C4">
      <w:pPr>
        <w:spacing w:after="0" w:line="240" w:lineRule="auto"/>
        <w:jc w:val="both"/>
        <w:rPr>
          <w:rFonts w:eastAsia="Times New Roman" w:cstheme="minorHAnsi"/>
          <w:lang w:eastAsia="hr-HR"/>
        </w:rPr>
      </w:pPr>
    </w:p>
    <w:tbl>
      <w:tblPr>
        <w:tblW w:w="8926" w:type="dxa"/>
        <w:jc w:val="center"/>
        <w:tblLayout w:type="fixed"/>
        <w:tblLook w:val="04A0" w:firstRow="1" w:lastRow="0" w:firstColumn="1" w:lastColumn="0" w:noHBand="0" w:noVBand="1"/>
      </w:tblPr>
      <w:tblGrid>
        <w:gridCol w:w="540"/>
        <w:gridCol w:w="3991"/>
        <w:gridCol w:w="2694"/>
        <w:gridCol w:w="1701"/>
      </w:tblGrid>
      <w:tr w:rsidR="00A234C4" w:rsidRPr="00BE5F8A" w:rsidTr="001450C6">
        <w:trPr>
          <w:trHeight w:val="319"/>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RB</w:t>
            </w:r>
          </w:p>
        </w:tc>
        <w:tc>
          <w:tcPr>
            <w:tcW w:w="3991"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KORISNIK</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BANKA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STANJE 31.12.2020.</w:t>
            </w:r>
          </w:p>
        </w:tc>
      </w:tr>
      <w:tr w:rsidR="00A234C4" w:rsidRPr="00BE5F8A" w:rsidTr="001450C6">
        <w:trPr>
          <w:trHeight w:val="450"/>
          <w:jc w:val="center"/>
        </w:trPr>
        <w:tc>
          <w:tcPr>
            <w:tcW w:w="540"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rPr>
                <w:rFonts w:eastAsia="Times New Roman" w:cs="Calibri"/>
                <w:lang w:eastAsia="hr-HR"/>
              </w:rPr>
            </w:pPr>
          </w:p>
        </w:tc>
        <w:tc>
          <w:tcPr>
            <w:tcW w:w="3991"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rPr>
                <w:rFonts w:eastAsia="Times New Roman" w:cs="Calibri"/>
                <w:lang w:eastAsia="hr-HR"/>
              </w:rPr>
            </w:pPr>
          </w:p>
        </w:tc>
        <w:tc>
          <w:tcPr>
            <w:tcW w:w="2694"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rPr>
                <w:rFonts w:eastAsia="Times New Roman" w:cs="Calibri"/>
                <w:lang w:eastAsia="hr-HR"/>
              </w:rPr>
            </w:pPr>
          </w:p>
        </w:tc>
        <w:tc>
          <w:tcPr>
            <w:tcW w:w="1701"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A234C4" w:rsidRPr="00BE5F8A" w:rsidRDefault="00A234C4" w:rsidP="001450C6">
            <w:pPr>
              <w:spacing w:after="0" w:line="240" w:lineRule="auto"/>
              <w:rPr>
                <w:rFonts w:eastAsia="Times New Roman" w:cs="Calibri"/>
                <w:lang w:eastAsia="hr-HR"/>
              </w:rPr>
            </w:pPr>
          </w:p>
        </w:tc>
      </w:tr>
      <w:tr w:rsidR="00A234C4" w:rsidRPr="00BE5F8A" w:rsidTr="001450C6">
        <w:trPr>
          <w:trHeight w:val="289"/>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1.</w:t>
            </w:r>
          </w:p>
        </w:tc>
        <w:tc>
          <w:tcPr>
            <w:tcW w:w="3991" w:type="dxa"/>
            <w:tcBorders>
              <w:top w:val="single" w:sz="4" w:space="0" w:color="auto"/>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lang w:eastAsia="hr-HR"/>
              </w:rPr>
            </w:pPr>
            <w:r w:rsidRPr="00BE5F8A">
              <w:rPr>
                <w:rFonts w:eastAsia="Times New Roman" w:cs="Calibri"/>
                <w:lang w:eastAsia="hr-HR"/>
              </w:rPr>
              <w:t>GSKG d.o.o.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ZABA</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1.407</w:t>
            </w:r>
          </w:p>
        </w:tc>
      </w:tr>
      <w:tr w:rsidR="00A234C4" w:rsidRPr="00BE5F8A" w:rsidTr="001450C6">
        <w:trPr>
          <w:trHeight w:val="265"/>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2.</w:t>
            </w:r>
          </w:p>
        </w:tc>
        <w:tc>
          <w:tcPr>
            <w:tcW w:w="3991" w:type="dxa"/>
            <w:tcBorders>
              <w:top w:val="nil"/>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lang w:eastAsia="hr-HR"/>
              </w:rPr>
            </w:pPr>
            <w:r w:rsidRPr="00BE5F8A">
              <w:rPr>
                <w:rFonts w:eastAsia="Times New Roman" w:cs="Calibri"/>
                <w:lang w:eastAsia="hr-HR"/>
              </w:rPr>
              <w:t>ZGH d.o.o.</w:t>
            </w:r>
          </w:p>
        </w:tc>
        <w:tc>
          <w:tcPr>
            <w:tcW w:w="2694" w:type="dxa"/>
            <w:tcBorders>
              <w:top w:val="nil"/>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ZABA-PBZ</w:t>
            </w:r>
          </w:p>
        </w:tc>
        <w:tc>
          <w:tcPr>
            <w:tcW w:w="1701" w:type="dxa"/>
            <w:tcBorders>
              <w:top w:val="nil"/>
              <w:left w:val="nil"/>
              <w:bottom w:val="single" w:sz="4" w:space="0" w:color="auto"/>
              <w:right w:val="single" w:sz="4" w:space="0" w:color="auto"/>
            </w:tcBorders>
            <w:shd w:val="clear" w:color="000000" w:fill="FFFFFF"/>
            <w:noWrap/>
            <w:vAlign w:val="center"/>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2.300.000.000</w:t>
            </w:r>
          </w:p>
        </w:tc>
      </w:tr>
      <w:tr w:rsidR="00A234C4" w:rsidRPr="00BE5F8A" w:rsidTr="001450C6">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3.</w:t>
            </w:r>
          </w:p>
        </w:tc>
        <w:tc>
          <w:tcPr>
            <w:tcW w:w="3991" w:type="dxa"/>
            <w:tcBorders>
              <w:top w:val="nil"/>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rPr>
                <w:rFonts w:eastAsia="Times New Roman" w:cs="Calibri"/>
                <w:lang w:eastAsia="hr-HR"/>
              </w:rPr>
            </w:pPr>
            <w:r w:rsidRPr="00BE5F8A">
              <w:rPr>
                <w:rFonts w:eastAsia="Times New Roman" w:cs="Calibri"/>
                <w:lang w:eastAsia="hr-HR"/>
              </w:rPr>
              <w:t>KLINIČKA BOLNICA "SVETI DUH"</w:t>
            </w:r>
          </w:p>
        </w:tc>
        <w:tc>
          <w:tcPr>
            <w:tcW w:w="2694" w:type="dxa"/>
            <w:tcBorders>
              <w:top w:val="nil"/>
              <w:left w:val="nil"/>
              <w:bottom w:val="single" w:sz="4" w:space="0" w:color="auto"/>
              <w:right w:val="single" w:sz="4" w:space="0" w:color="auto"/>
            </w:tcBorders>
            <w:shd w:val="clear" w:color="auto" w:fill="auto"/>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PBZ</w:t>
            </w:r>
          </w:p>
        </w:tc>
        <w:tc>
          <w:tcPr>
            <w:tcW w:w="1701" w:type="dxa"/>
            <w:tcBorders>
              <w:top w:val="nil"/>
              <w:left w:val="nil"/>
              <w:bottom w:val="single" w:sz="4" w:space="0" w:color="auto"/>
              <w:right w:val="single" w:sz="4" w:space="0" w:color="auto"/>
            </w:tcBorders>
            <w:shd w:val="clear" w:color="000000" w:fill="FFFFFF"/>
            <w:noWrap/>
            <w:vAlign w:val="center"/>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25.000.000</w:t>
            </w:r>
          </w:p>
        </w:tc>
      </w:tr>
      <w:tr w:rsidR="00A234C4" w:rsidRPr="00BE5F8A" w:rsidTr="001450C6">
        <w:trPr>
          <w:trHeight w:val="596"/>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4.</w:t>
            </w:r>
          </w:p>
        </w:tc>
        <w:tc>
          <w:tcPr>
            <w:tcW w:w="3991" w:type="dxa"/>
            <w:tcBorders>
              <w:top w:val="nil"/>
              <w:left w:val="nil"/>
              <w:bottom w:val="single" w:sz="4" w:space="0" w:color="auto"/>
              <w:right w:val="single" w:sz="4" w:space="0" w:color="auto"/>
            </w:tcBorders>
            <w:shd w:val="clear" w:color="auto" w:fill="auto"/>
            <w:vAlign w:val="center"/>
          </w:tcPr>
          <w:p w:rsidR="00A234C4" w:rsidRPr="00BE5F8A" w:rsidRDefault="00A234C4" w:rsidP="001450C6">
            <w:pPr>
              <w:spacing w:after="0" w:line="240" w:lineRule="auto"/>
              <w:rPr>
                <w:rFonts w:eastAsia="Times New Roman" w:cs="Calibri"/>
                <w:lang w:eastAsia="hr-HR"/>
              </w:rPr>
            </w:pPr>
            <w:r w:rsidRPr="00BE5F8A">
              <w:rPr>
                <w:rFonts w:eastAsia="Times New Roman" w:cs="Calibri"/>
                <w:lang w:eastAsia="hr-HR"/>
              </w:rPr>
              <w:t>NASTAVNI ZAVOD ZA JAVNO ZDRAVSTVO ''DR.ANDRIJA ŠTAMPAR''</w:t>
            </w:r>
          </w:p>
        </w:tc>
        <w:tc>
          <w:tcPr>
            <w:tcW w:w="2694" w:type="dxa"/>
            <w:tcBorders>
              <w:top w:val="nil"/>
              <w:left w:val="nil"/>
              <w:bottom w:val="single" w:sz="4" w:space="0" w:color="auto"/>
              <w:right w:val="single" w:sz="4" w:space="0" w:color="auto"/>
            </w:tcBorders>
            <w:shd w:val="clear" w:color="auto" w:fill="auto"/>
            <w:vAlign w:val="center"/>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ERSTE&amp;STEIERMARKISCHE BANK d.d.</w:t>
            </w:r>
          </w:p>
        </w:tc>
        <w:tc>
          <w:tcPr>
            <w:tcW w:w="1701" w:type="dxa"/>
            <w:tcBorders>
              <w:top w:val="nil"/>
              <w:left w:val="nil"/>
              <w:bottom w:val="single" w:sz="4" w:space="0" w:color="auto"/>
              <w:right w:val="single" w:sz="4" w:space="0" w:color="auto"/>
            </w:tcBorders>
            <w:shd w:val="clear" w:color="000000" w:fill="FFFFFF"/>
            <w:noWrap/>
            <w:vAlign w:val="center"/>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25.000.000</w:t>
            </w:r>
          </w:p>
        </w:tc>
      </w:tr>
      <w:tr w:rsidR="00A234C4" w:rsidRPr="00BE5F8A" w:rsidTr="001450C6">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5.</w:t>
            </w:r>
          </w:p>
        </w:tc>
        <w:tc>
          <w:tcPr>
            <w:tcW w:w="3991" w:type="dxa"/>
            <w:tcBorders>
              <w:top w:val="nil"/>
              <w:left w:val="nil"/>
              <w:bottom w:val="single" w:sz="4" w:space="0" w:color="auto"/>
              <w:right w:val="single" w:sz="4" w:space="0" w:color="auto"/>
            </w:tcBorders>
            <w:shd w:val="clear" w:color="auto" w:fill="auto"/>
            <w:vAlign w:val="center"/>
          </w:tcPr>
          <w:p w:rsidR="00A234C4" w:rsidRPr="00BE5F8A" w:rsidRDefault="00A234C4" w:rsidP="001450C6">
            <w:pPr>
              <w:spacing w:after="0" w:line="240" w:lineRule="auto"/>
              <w:rPr>
                <w:rFonts w:eastAsia="Times New Roman" w:cs="Calibri"/>
                <w:lang w:eastAsia="hr-HR"/>
              </w:rPr>
            </w:pPr>
            <w:r w:rsidRPr="00BE5F8A">
              <w:rPr>
                <w:rFonts w:eastAsia="Times New Roman" w:cs="Calibri"/>
                <w:lang w:eastAsia="hr-HR"/>
              </w:rPr>
              <w:t>ZAGREBAČKI ELEKTRIČNI TRAMVAJ d.o.o</w:t>
            </w:r>
          </w:p>
        </w:tc>
        <w:tc>
          <w:tcPr>
            <w:tcW w:w="2694" w:type="dxa"/>
            <w:tcBorders>
              <w:top w:val="nil"/>
              <w:left w:val="nil"/>
              <w:bottom w:val="single" w:sz="4" w:space="0" w:color="auto"/>
              <w:right w:val="single" w:sz="4" w:space="0" w:color="auto"/>
            </w:tcBorders>
            <w:shd w:val="clear" w:color="auto" w:fill="auto"/>
            <w:vAlign w:val="center"/>
          </w:tcPr>
          <w:p w:rsidR="00A234C4" w:rsidRPr="00BE5F8A" w:rsidRDefault="00A234C4" w:rsidP="001450C6">
            <w:pPr>
              <w:jc w:val="center"/>
              <w:rPr>
                <w:rFonts w:cs="Arial"/>
                <w:bCs/>
              </w:rPr>
            </w:pPr>
            <w:r w:rsidRPr="00BE5F8A">
              <w:rPr>
                <w:rFonts w:cs="Arial"/>
                <w:bCs/>
              </w:rPr>
              <w:t>PBZ - ZABA - HBOR - OTP</w:t>
            </w:r>
          </w:p>
        </w:tc>
        <w:tc>
          <w:tcPr>
            <w:tcW w:w="1701" w:type="dxa"/>
            <w:tcBorders>
              <w:top w:val="nil"/>
              <w:left w:val="nil"/>
              <w:bottom w:val="single" w:sz="4" w:space="0" w:color="auto"/>
              <w:right w:val="single" w:sz="4" w:space="0" w:color="auto"/>
            </w:tcBorders>
            <w:shd w:val="clear" w:color="000000" w:fill="FFFFFF"/>
            <w:noWrap/>
            <w:vAlign w:val="center"/>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429.600.000</w:t>
            </w:r>
          </w:p>
        </w:tc>
      </w:tr>
      <w:tr w:rsidR="00A234C4" w:rsidRPr="00BE5F8A" w:rsidTr="001450C6">
        <w:trPr>
          <w:trHeight w:val="295"/>
          <w:jc w:val="center"/>
        </w:trPr>
        <w:tc>
          <w:tcPr>
            <w:tcW w:w="7225"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lang w:eastAsia="hr-HR"/>
              </w:rPr>
            </w:pPr>
            <w:r w:rsidRPr="00BE5F8A">
              <w:rPr>
                <w:rFonts w:eastAsia="Times New Roman" w:cs="Calibri"/>
                <w:lang w:eastAsia="hr-HR"/>
              </w:rPr>
              <w:t xml:space="preserve">UKUPNO </w:t>
            </w:r>
          </w:p>
        </w:tc>
        <w:tc>
          <w:tcPr>
            <w:tcW w:w="1701" w:type="dxa"/>
            <w:tcBorders>
              <w:top w:val="nil"/>
              <w:left w:val="nil"/>
              <w:bottom w:val="single" w:sz="4" w:space="0" w:color="auto"/>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2.779.601.407</w:t>
            </w:r>
          </w:p>
        </w:tc>
      </w:tr>
    </w:tbl>
    <w:p w:rsidR="00BE5F8A" w:rsidRPr="00BE5F8A" w:rsidRDefault="00BE5F8A" w:rsidP="00A234C4">
      <w:pPr>
        <w:spacing w:after="0" w:line="240" w:lineRule="auto"/>
        <w:jc w:val="both"/>
        <w:rPr>
          <w:rFonts w:eastAsia="Times New Roman" w:cstheme="minorHAnsi"/>
          <w:lang w:eastAsia="hr-HR"/>
        </w:rPr>
      </w:pPr>
    </w:p>
    <w:p w:rsidR="00A234C4" w:rsidRPr="00BE5F8A" w:rsidRDefault="00A234C4" w:rsidP="00A234C4">
      <w:pPr>
        <w:spacing w:after="120"/>
        <w:ind w:firstLine="708"/>
        <w:jc w:val="both"/>
        <w:rPr>
          <w:rFonts w:eastAsia="Times New Roman" w:cstheme="minorHAnsi"/>
          <w:lang w:eastAsia="hr-HR"/>
        </w:rPr>
      </w:pPr>
      <w:r w:rsidRPr="00BE5F8A">
        <w:rPr>
          <w:rFonts w:eastAsia="Times New Roman" w:cstheme="minorHAnsi"/>
          <w:lang w:eastAsia="hr-HR"/>
        </w:rPr>
        <w:t xml:space="preserve">I.4. </w:t>
      </w:r>
      <w:r w:rsidRPr="00BE5F8A">
        <w:rPr>
          <w:rFonts w:eastAsia="Times New Roman" w:cstheme="minorHAnsi"/>
          <w:lang w:eastAsia="hr-HR"/>
        </w:rPr>
        <w:tab/>
        <w:t>ZADUŽNICE I GARANCIJE</w:t>
      </w:r>
    </w:p>
    <w:p w:rsidR="00F7108F" w:rsidRPr="00BE5F8A" w:rsidRDefault="00A234C4" w:rsidP="00A234C4">
      <w:pPr>
        <w:spacing w:after="120"/>
        <w:jc w:val="both"/>
        <w:rPr>
          <w:rFonts w:eastAsia="Times New Roman" w:cstheme="minorHAnsi"/>
          <w:lang w:eastAsia="hr-HR"/>
        </w:rPr>
      </w:pPr>
      <w:r w:rsidRPr="00BE5F8A">
        <w:rPr>
          <w:rFonts w:eastAsia="Times New Roman" w:cstheme="minorHAnsi"/>
          <w:lang w:eastAsia="hr-HR"/>
        </w:rPr>
        <w:t xml:space="preserve">Prema evidencijama gradskih upravnih tijela Grada Zagreba primljeni i dani instrumenti osiguranja zadužnice i garancije najvećim dijelom odnose se na osiguranje za uredno ispunjenje ugovora i okvirnih sporazuma, zatim za otklanjanje nedostataka u jamstvenom roku, osiguranje namjenskog trošenja sredstava i sl. </w:t>
      </w:r>
    </w:p>
    <w:tbl>
      <w:tblPr>
        <w:tblW w:w="5807" w:type="dxa"/>
        <w:jc w:val="center"/>
        <w:tblLook w:val="04A0" w:firstRow="1" w:lastRow="0" w:firstColumn="1" w:lastColumn="0" w:noHBand="0" w:noVBand="1"/>
      </w:tblPr>
      <w:tblGrid>
        <w:gridCol w:w="820"/>
        <w:gridCol w:w="1331"/>
        <w:gridCol w:w="1819"/>
        <w:gridCol w:w="1837"/>
      </w:tblGrid>
      <w:tr w:rsidR="00A234C4" w:rsidRPr="00BE5F8A" w:rsidTr="001450C6">
        <w:trPr>
          <w:trHeight w:val="328"/>
          <w:jc w:val="center"/>
        </w:trPr>
        <w:tc>
          <w:tcPr>
            <w:tcW w:w="8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bCs/>
                <w:color w:val="000000"/>
                <w:lang w:eastAsia="hr-HR"/>
              </w:rPr>
            </w:pPr>
            <w:r w:rsidRPr="00BE5F8A">
              <w:rPr>
                <w:rFonts w:eastAsia="Times New Roman" w:cs="Calibri"/>
                <w:bCs/>
                <w:color w:val="000000"/>
                <w:lang w:eastAsia="hr-HR"/>
              </w:rPr>
              <w:t>KOM.</w:t>
            </w:r>
          </w:p>
        </w:tc>
        <w:tc>
          <w:tcPr>
            <w:tcW w:w="4987"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A234C4" w:rsidRPr="00BE5F8A" w:rsidRDefault="00A234C4" w:rsidP="001450C6">
            <w:pPr>
              <w:spacing w:after="0" w:line="240" w:lineRule="auto"/>
              <w:jc w:val="center"/>
              <w:rPr>
                <w:rFonts w:eastAsia="Times New Roman" w:cs="Calibri"/>
                <w:bCs/>
                <w:color w:val="000000"/>
                <w:lang w:eastAsia="hr-HR"/>
              </w:rPr>
            </w:pPr>
            <w:r w:rsidRPr="00BE5F8A">
              <w:rPr>
                <w:rFonts w:eastAsia="Times New Roman" w:cs="Calibri"/>
                <w:bCs/>
                <w:color w:val="000000"/>
                <w:lang w:eastAsia="hr-HR"/>
              </w:rPr>
              <w:t>VRSTA INSTRUMENTA OSIGURANJA</w:t>
            </w:r>
          </w:p>
        </w:tc>
      </w:tr>
      <w:tr w:rsidR="00A234C4" w:rsidRPr="00BE5F8A" w:rsidTr="001450C6">
        <w:trPr>
          <w:trHeight w:val="300"/>
          <w:jc w:val="center"/>
        </w:trPr>
        <w:tc>
          <w:tcPr>
            <w:tcW w:w="580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ZADUŽNICE</w:t>
            </w:r>
          </w:p>
        </w:tc>
      </w:tr>
      <w:tr w:rsidR="00A234C4" w:rsidRPr="00BE5F8A" w:rsidTr="001450C6">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3264</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PRIMLJENE</w:t>
            </w:r>
          </w:p>
        </w:tc>
        <w:tc>
          <w:tcPr>
            <w:tcW w:w="1819"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376.931.530,06</w:t>
            </w:r>
          </w:p>
        </w:tc>
        <w:tc>
          <w:tcPr>
            <w:tcW w:w="1837" w:type="dxa"/>
            <w:tcBorders>
              <w:top w:val="single" w:sz="4" w:space="0" w:color="auto"/>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p>
        </w:tc>
      </w:tr>
      <w:tr w:rsidR="00A234C4" w:rsidRPr="00BE5F8A" w:rsidTr="001450C6">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93</w:t>
            </w:r>
          </w:p>
        </w:tc>
        <w:tc>
          <w:tcPr>
            <w:tcW w:w="1331" w:type="dxa"/>
            <w:tcBorders>
              <w:top w:val="nil"/>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DANE</w:t>
            </w:r>
          </w:p>
        </w:tc>
        <w:tc>
          <w:tcPr>
            <w:tcW w:w="1819"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p>
        </w:tc>
        <w:tc>
          <w:tcPr>
            <w:tcW w:w="1837" w:type="dxa"/>
            <w:tcBorders>
              <w:top w:val="nil"/>
              <w:left w:val="nil"/>
              <w:bottom w:val="single" w:sz="4" w:space="0" w:color="auto"/>
              <w:right w:val="single" w:sz="4" w:space="0" w:color="auto"/>
            </w:tcBorders>
            <w:shd w:val="clear" w:color="auto" w:fill="auto"/>
            <w:noWrap/>
            <w:vAlign w:val="bottom"/>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240.644.043,69</w:t>
            </w:r>
          </w:p>
        </w:tc>
      </w:tr>
      <w:tr w:rsidR="00A234C4" w:rsidRPr="00BE5F8A" w:rsidTr="001450C6">
        <w:trPr>
          <w:trHeight w:val="300"/>
          <w:jc w:val="center"/>
        </w:trPr>
        <w:tc>
          <w:tcPr>
            <w:tcW w:w="580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GARANCIJE</w:t>
            </w:r>
          </w:p>
        </w:tc>
      </w:tr>
      <w:tr w:rsidR="00A234C4" w:rsidRPr="00BE5F8A" w:rsidTr="001450C6">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461</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PRIMLJENE</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right"/>
              <w:rPr>
                <w:rFonts w:eastAsia="Times New Roman" w:cs="Calibri"/>
                <w:color w:val="000000"/>
                <w:lang w:eastAsia="hr-HR"/>
              </w:rPr>
            </w:pPr>
            <w:r w:rsidRPr="00BE5F8A">
              <w:rPr>
                <w:rFonts w:eastAsia="Times New Roman" w:cs="Calibri"/>
                <w:color w:val="000000"/>
                <w:lang w:eastAsia="hr-HR"/>
              </w:rPr>
              <w:t>210.973.114,19</w:t>
            </w:r>
          </w:p>
        </w:tc>
        <w:tc>
          <w:tcPr>
            <w:tcW w:w="1837" w:type="dxa"/>
            <w:tcBorders>
              <w:top w:val="single" w:sz="4" w:space="0" w:color="auto"/>
              <w:left w:val="nil"/>
              <w:bottom w:val="single" w:sz="4" w:space="0" w:color="auto"/>
              <w:right w:val="single" w:sz="4" w:space="0" w:color="auto"/>
            </w:tcBorders>
            <w:shd w:val="clear" w:color="auto" w:fill="auto"/>
            <w:noWrap/>
            <w:vAlign w:val="bottom"/>
            <w:hideMark/>
          </w:tcPr>
          <w:p w:rsidR="00A234C4" w:rsidRPr="00BE5F8A" w:rsidRDefault="00A234C4" w:rsidP="001450C6">
            <w:pPr>
              <w:spacing w:after="0" w:line="240" w:lineRule="auto"/>
              <w:jc w:val="center"/>
              <w:rPr>
                <w:rFonts w:eastAsia="Times New Roman" w:cs="Calibri"/>
                <w:color w:val="000000"/>
                <w:lang w:eastAsia="hr-HR"/>
              </w:rPr>
            </w:pPr>
            <w:r w:rsidRPr="00BE5F8A">
              <w:rPr>
                <w:rFonts w:eastAsia="Times New Roman" w:cs="Calibri"/>
                <w:color w:val="000000"/>
                <w:lang w:eastAsia="hr-HR"/>
              </w:rPr>
              <w:t> </w:t>
            </w:r>
          </w:p>
        </w:tc>
      </w:tr>
    </w:tbl>
    <w:p w:rsidR="00A234C4" w:rsidRPr="00BE5F8A" w:rsidRDefault="00A234C4" w:rsidP="00A234C4">
      <w:pPr>
        <w:spacing w:after="120"/>
        <w:jc w:val="both"/>
        <w:rPr>
          <w:rFonts w:eastAsia="Times New Roman" w:cstheme="minorHAnsi"/>
          <w:lang w:eastAsia="hr-HR"/>
        </w:rPr>
      </w:pPr>
    </w:p>
    <w:p w:rsidR="00A234C4" w:rsidRPr="00BE5F8A" w:rsidRDefault="00A234C4" w:rsidP="00A234C4">
      <w:pPr>
        <w:spacing w:after="120"/>
        <w:jc w:val="both"/>
        <w:rPr>
          <w:rFonts w:eastAsia="Times New Roman" w:cstheme="minorHAnsi"/>
          <w:lang w:eastAsia="hr-HR"/>
        </w:rPr>
      </w:pPr>
      <w:r w:rsidRPr="00BE5F8A">
        <w:rPr>
          <w:rFonts w:eastAsia="Times New Roman" w:cstheme="minorHAnsi"/>
          <w:lang w:eastAsia="hr-HR"/>
        </w:rPr>
        <w:t xml:space="preserve">             I.5.</w:t>
      </w:r>
      <w:r w:rsidRPr="00BE5F8A">
        <w:rPr>
          <w:rFonts w:eastAsia="Times New Roman" w:cstheme="minorHAnsi"/>
          <w:lang w:eastAsia="hr-HR"/>
        </w:rPr>
        <w:tab/>
        <w:t xml:space="preserve"> HIPOTEKE</w:t>
      </w:r>
    </w:p>
    <w:p w:rsidR="004120DD" w:rsidRDefault="00A234C4" w:rsidP="00A234C4">
      <w:pPr>
        <w:jc w:val="both"/>
        <w:rPr>
          <w:rFonts w:eastAsia="Times New Roman" w:cstheme="minorHAnsi"/>
          <w:lang w:eastAsia="hr-HR"/>
        </w:rPr>
      </w:pPr>
      <w:r w:rsidRPr="00BE5F8A">
        <w:rPr>
          <w:rFonts w:eastAsia="Times New Roman" w:cstheme="minorHAnsi"/>
          <w:lang w:eastAsia="hr-HR"/>
        </w:rPr>
        <w:t xml:space="preserve">U </w:t>
      </w:r>
      <w:proofErr w:type="spellStart"/>
      <w:r w:rsidRPr="00BE5F8A">
        <w:rPr>
          <w:rFonts w:eastAsia="Times New Roman" w:cstheme="minorHAnsi"/>
          <w:lang w:eastAsia="hr-HR"/>
        </w:rPr>
        <w:t>izvanbilančnu</w:t>
      </w:r>
      <w:proofErr w:type="spellEnd"/>
      <w:r w:rsidRPr="00BE5F8A">
        <w:rPr>
          <w:rFonts w:eastAsia="Times New Roman" w:cstheme="minorHAnsi"/>
          <w:lang w:eastAsia="hr-HR"/>
        </w:rPr>
        <w:t xml:space="preserve"> evidenciju upisano je 22 hipoteke u iznosu od 9.500.105,25 kuna u korist Grada temeljem kupoprodajnih ugovora za zemljište i poslovne prostore, rješenja Gradskog ureda za poljoprivredu i šumarstvo i rješenja o prenamjeni poljoprivrednog zemljišta u građevinsko. Grad nema ustrojene evidencije iz koje bi se mogli dobiti podaci o svim nekretninama u vlasništvu Grada koje su opterećene hipotekom ili založnim pravom i podaci o zabilježenim hipotekama na imovini trećih osoba u korist Grada, kojima se osigurava namirenje novčanih tražbina iz vrijednosti nekretnina.</w:t>
      </w:r>
    </w:p>
    <w:p w:rsidR="008812CC" w:rsidRDefault="008812CC" w:rsidP="008812CC">
      <w:pPr>
        <w:spacing w:after="120"/>
        <w:jc w:val="both"/>
        <w:rPr>
          <w:rFonts w:eastAsia="Times New Roman" w:cstheme="minorHAnsi"/>
          <w:lang w:eastAsia="hr-HR"/>
        </w:rPr>
      </w:pPr>
      <w:r>
        <w:rPr>
          <w:rFonts w:eastAsia="Times New Roman" w:cstheme="minorHAnsi"/>
          <w:lang w:eastAsia="hr-HR"/>
        </w:rPr>
        <w:lastRenderedPageBreak/>
        <w:t xml:space="preserve">             I.6.</w:t>
      </w:r>
      <w:r>
        <w:rPr>
          <w:rFonts w:eastAsia="Times New Roman" w:cstheme="minorHAnsi"/>
          <w:lang w:eastAsia="hr-HR"/>
        </w:rPr>
        <w:tab/>
        <w:t xml:space="preserve"> TUĐA IMOVINA DOBIVENA NA KORIŠTENJE</w:t>
      </w:r>
    </w:p>
    <w:p w:rsidR="00A234C4" w:rsidRPr="00BE5F8A" w:rsidRDefault="00A234C4" w:rsidP="00A234C4">
      <w:pPr>
        <w:spacing w:after="0"/>
        <w:jc w:val="both"/>
        <w:rPr>
          <w:rFonts w:eastAsia="Times New Roman" w:cstheme="minorHAnsi"/>
          <w:lang w:eastAsia="hr-HR"/>
        </w:rPr>
      </w:pPr>
      <w:r w:rsidRPr="00BE5F8A">
        <w:rPr>
          <w:rFonts w:eastAsia="Times New Roman" w:cstheme="minorHAnsi"/>
          <w:lang w:eastAsia="hr-HR"/>
        </w:rPr>
        <w:t xml:space="preserve">Stanje tuđe imovine dobivene na korištenje na dan 31.12.2020. iznosi 1.763.252 kune. </w:t>
      </w:r>
    </w:p>
    <w:p w:rsidR="00A234C4" w:rsidRPr="00BE5F8A" w:rsidRDefault="00A234C4" w:rsidP="00A234C4">
      <w:pPr>
        <w:jc w:val="both"/>
        <w:rPr>
          <w:rFonts w:cs="Times New Roman"/>
        </w:rPr>
      </w:pPr>
      <w:r w:rsidRPr="00BE5F8A">
        <w:rPr>
          <w:rFonts w:eastAsia="Times New Roman" w:cstheme="minorHAnsi"/>
          <w:lang w:eastAsia="hr-HR"/>
        </w:rPr>
        <w:t>Evidentirane su tri nekretnine - dva poslovna prostora i garaža koje koristi mjesna samouprava prema procijeni Ministarstva financija - Porezne uprave ukupne vrijednosti 1.762.606 kn.</w:t>
      </w:r>
      <w:r w:rsidRPr="00BE5F8A">
        <w:rPr>
          <w:rFonts w:cs="Times New Roman"/>
        </w:rPr>
        <w:t xml:space="preserve"> Popisom na dan 31.12.2020. usklađeno je 646 čestica zemljišta, i to 577 poljoprivrednih zemljišnih čestica i 69 čestica neizgrađenog građevinskog zemljišta  koja su prema Programu raspolaganja poljoprivrednim zemljištem i neizgrađenim građevinskim zemljištem u vlasništvu Republike Hrvatske, a nalaze se na području Grada Zagreba, predana na raspolaganje Gradu Zagrebu. Kako pored dobivenog popisa čestica nije iskazana vrijednost, iste su evidentirane po knjigovodstvenoj vrijednosti od 1,00 kune po čestici u </w:t>
      </w:r>
      <w:proofErr w:type="spellStart"/>
      <w:r w:rsidRPr="00BE5F8A">
        <w:rPr>
          <w:rFonts w:cs="Times New Roman"/>
        </w:rPr>
        <w:t>izvanbilančnim</w:t>
      </w:r>
      <w:proofErr w:type="spellEnd"/>
      <w:r w:rsidRPr="00BE5F8A">
        <w:rPr>
          <w:rFonts w:cs="Times New Roman"/>
        </w:rPr>
        <w:t xml:space="preserve"> zapisima, ukupno 646 kuna.</w:t>
      </w:r>
    </w:p>
    <w:p w:rsidR="00A234C4" w:rsidRPr="00BE5F8A" w:rsidRDefault="00A234C4" w:rsidP="00A234C4">
      <w:pPr>
        <w:spacing w:after="0" w:line="240" w:lineRule="auto"/>
        <w:jc w:val="both"/>
        <w:rPr>
          <w:rFonts w:eastAsia="Times New Roman" w:cstheme="minorHAnsi"/>
          <w:lang w:eastAsia="hr-HR"/>
        </w:rPr>
      </w:pPr>
    </w:p>
    <w:p w:rsidR="004120DD" w:rsidRDefault="00A234C4" w:rsidP="004120DD">
      <w:pPr>
        <w:pStyle w:val="ListParagraph"/>
        <w:numPr>
          <w:ilvl w:val="0"/>
          <w:numId w:val="10"/>
        </w:numPr>
        <w:spacing w:after="200" w:line="276" w:lineRule="auto"/>
        <w:jc w:val="both"/>
        <w:rPr>
          <w:rFonts w:eastAsia="Times New Roman" w:cstheme="minorHAnsi"/>
          <w:b/>
          <w:lang w:eastAsia="hr-HR"/>
        </w:rPr>
      </w:pPr>
      <w:r w:rsidRPr="00BE5F8A">
        <w:rPr>
          <w:rFonts w:eastAsia="Times New Roman" w:cstheme="minorHAnsi"/>
          <w:b/>
          <w:lang w:eastAsia="hr-HR"/>
        </w:rPr>
        <w:t>POPIS SUDSKIH SPOROVA U TIJEKU</w:t>
      </w:r>
    </w:p>
    <w:p w:rsidR="00A234C4" w:rsidRPr="004120DD" w:rsidRDefault="00A234C4" w:rsidP="004120DD">
      <w:pPr>
        <w:spacing w:after="200" w:line="276" w:lineRule="auto"/>
        <w:ind w:left="45"/>
        <w:jc w:val="both"/>
        <w:rPr>
          <w:rFonts w:eastAsia="Times New Roman" w:cstheme="minorHAnsi"/>
          <w:b/>
          <w:lang w:eastAsia="hr-HR"/>
        </w:rPr>
      </w:pPr>
      <w:r w:rsidRPr="004120DD">
        <w:rPr>
          <w:rFonts w:eastAsia="Times New Roman" w:cstheme="minorHAnsi"/>
          <w:lang w:eastAsia="hr-HR"/>
        </w:rPr>
        <w:t>Pregled sudskih sporova u tijeku koji se vode pred sudovima u kojima je Grad u aktivnoj ili pasivnoj ulozi te vrijednost potencijalnih obveza i potraživanja temeljem vrijednosti predmeta pojedinog spora na dan 31.12.2020.</w:t>
      </w:r>
    </w:p>
    <w:tbl>
      <w:tblPr>
        <w:tblW w:w="0" w:type="auto"/>
        <w:jc w:val="center"/>
        <w:tblLayout w:type="fixed"/>
        <w:tblCellMar>
          <w:left w:w="30" w:type="dxa"/>
          <w:right w:w="30" w:type="dxa"/>
        </w:tblCellMar>
        <w:tblLook w:val="0000" w:firstRow="0" w:lastRow="0" w:firstColumn="0" w:lastColumn="0" w:noHBand="0" w:noVBand="0"/>
      </w:tblPr>
      <w:tblGrid>
        <w:gridCol w:w="629"/>
        <w:gridCol w:w="4368"/>
        <w:gridCol w:w="854"/>
        <w:gridCol w:w="2112"/>
      </w:tblGrid>
      <w:tr w:rsidR="00A234C4" w:rsidRPr="00BE5F8A" w:rsidTr="001450C6">
        <w:trPr>
          <w:trHeight w:val="343"/>
          <w:jc w:val="center"/>
        </w:trPr>
        <w:tc>
          <w:tcPr>
            <w:tcW w:w="629" w:type="dxa"/>
            <w:tcBorders>
              <w:top w:val="single" w:sz="4" w:space="0" w:color="auto"/>
              <w:left w:val="single" w:sz="4" w:space="0" w:color="auto"/>
              <w:bottom w:val="single" w:sz="4"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jc w:val="right"/>
              <w:rPr>
                <w:rFonts w:cs="Calibri"/>
                <w:b/>
                <w:bCs/>
                <w:color w:val="000000"/>
              </w:rPr>
            </w:pPr>
          </w:p>
        </w:tc>
        <w:tc>
          <w:tcPr>
            <w:tcW w:w="4368" w:type="dxa"/>
            <w:tcBorders>
              <w:top w:val="single" w:sz="4" w:space="0" w:color="auto"/>
              <w:bottom w:val="single" w:sz="4" w:space="0" w:color="auto"/>
              <w:right w:val="single" w:sz="4"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jc w:val="center"/>
              <w:rPr>
                <w:rFonts w:cs="Calibri"/>
                <w:b/>
                <w:bCs/>
                <w:color w:val="000000"/>
              </w:rPr>
            </w:pPr>
            <w:r w:rsidRPr="00BE5F8A">
              <w:rPr>
                <w:rFonts w:cs="Calibri"/>
                <w:b/>
                <w:bCs/>
                <w:color w:val="000000"/>
              </w:rPr>
              <w:t>OPIS - VRSTA SPORA</w:t>
            </w:r>
          </w:p>
        </w:tc>
        <w:tc>
          <w:tcPr>
            <w:tcW w:w="854" w:type="dxa"/>
            <w:tcBorders>
              <w:top w:val="single" w:sz="6" w:space="0" w:color="auto"/>
              <w:left w:val="single" w:sz="4" w:space="0" w:color="auto"/>
              <w:bottom w:val="single" w:sz="6" w:space="0" w:color="auto"/>
              <w:right w:val="single" w:sz="6"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jc w:val="center"/>
              <w:rPr>
                <w:rFonts w:cs="Calibri"/>
                <w:b/>
                <w:bCs/>
                <w:color w:val="000000"/>
              </w:rPr>
            </w:pPr>
            <w:r w:rsidRPr="00BE5F8A">
              <w:rPr>
                <w:rFonts w:cs="Calibri"/>
                <w:b/>
                <w:bCs/>
                <w:color w:val="000000"/>
              </w:rPr>
              <w:t>Broj</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jc w:val="center"/>
              <w:rPr>
                <w:rFonts w:cs="Calibri"/>
                <w:b/>
                <w:bCs/>
                <w:color w:val="000000"/>
              </w:rPr>
            </w:pPr>
            <w:r w:rsidRPr="00BE5F8A">
              <w:rPr>
                <w:rFonts w:cs="Calibri"/>
                <w:b/>
                <w:bCs/>
                <w:color w:val="000000"/>
              </w:rPr>
              <w:t>VRIJEDNOST SPORA</w:t>
            </w:r>
          </w:p>
        </w:tc>
      </w:tr>
      <w:tr w:rsidR="00A234C4" w:rsidRPr="00BE5F8A" w:rsidTr="001450C6">
        <w:trPr>
          <w:trHeight w:val="321"/>
          <w:jc w:val="center"/>
        </w:trPr>
        <w:tc>
          <w:tcPr>
            <w:tcW w:w="4997" w:type="dxa"/>
            <w:gridSpan w:val="2"/>
            <w:tcBorders>
              <w:top w:val="single" w:sz="4" w:space="0" w:color="auto"/>
              <w:left w:val="single" w:sz="6" w:space="0" w:color="auto"/>
              <w:bottom w:val="single" w:sz="6" w:space="0" w:color="auto"/>
              <w:right w:val="single" w:sz="6"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rPr>
                <w:rFonts w:cs="Calibri"/>
                <w:b/>
                <w:bCs/>
                <w:color w:val="000000"/>
              </w:rPr>
            </w:pPr>
            <w:r w:rsidRPr="00BE5F8A">
              <w:rPr>
                <w:rFonts w:cs="Calibri"/>
                <w:b/>
                <w:bCs/>
                <w:color w:val="000000"/>
              </w:rPr>
              <w:t xml:space="preserve">Grad Zagreb U AKTIVNOJ ULOZI </w:t>
            </w:r>
          </w:p>
        </w:tc>
        <w:tc>
          <w:tcPr>
            <w:tcW w:w="854"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jc w:val="right"/>
              <w:rPr>
                <w:rFonts w:cs="Calibri"/>
                <w:b/>
                <w:bCs/>
                <w:color w:val="000000"/>
              </w:rPr>
            </w:pPr>
            <w:r w:rsidRPr="00BE5F8A">
              <w:rPr>
                <w:rFonts w:cs="Calibri"/>
                <w:b/>
                <w:bCs/>
                <w:color w:val="000000"/>
              </w:rPr>
              <w:t>25.362</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jc w:val="right"/>
              <w:rPr>
                <w:rFonts w:cs="Calibri"/>
                <w:b/>
                <w:bCs/>
                <w:color w:val="000000"/>
              </w:rPr>
            </w:pPr>
            <w:r w:rsidRPr="00BE5F8A">
              <w:rPr>
                <w:rFonts w:cs="Calibri"/>
                <w:b/>
                <w:bCs/>
                <w:color w:val="000000"/>
              </w:rPr>
              <w:t>1.840.270.385</w:t>
            </w:r>
          </w:p>
        </w:tc>
      </w:tr>
      <w:tr w:rsidR="00A234C4" w:rsidRPr="00BE5F8A" w:rsidTr="001450C6">
        <w:trPr>
          <w:trHeight w:val="331"/>
          <w:jc w:val="center"/>
        </w:trPr>
        <w:tc>
          <w:tcPr>
            <w:tcW w:w="4997"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rPr>
                <w:rFonts w:cs="Calibri"/>
                <w:b/>
                <w:bCs/>
                <w:color w:val="000000"/>
              </w:rPr>
            </w:pPr>
            <w:r w:rsidRPr="00BE5F8A">
              <w:rPr>
                <w:rFonts w:cs="Calibri"/>
                <w:b/>
                <w:bCs/>
                <w:color w:val="000000"/>
              </w:rPr>
              <w:t>Grad Zagreb U PASIVNOJ ULOZI</w:t>
            </w:r>
          </w:p>
        </w:tc>
        <w:tc>
          <w:tcPr>
            <w:tcW w:w="854"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jc w:val="right"/>
              <w:rPr>
                <w:rFonts w:cs="Calibri"/>
                <w:b/>
                <w:bCs/>
                <w:color w:val="000000"/>
              </w:rPr>
            </w:pPr>
            <w:r w:rsidRPr="00BE5F8A">
              <w:rPr>
                <w:rFonts w:cs="Calibri"/>
                <w:b/>
                <w:bCs/>
                <w:color w:val="000000"/>
              </w:rPr>
              <w:t>7.393</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A234C4" w:rsidRPr="00BE5F8A" w:rsidRDefault="00A234C4" w:rsidP="001450C6">
            <w:pPr>
              <w:autoSpaceDE w:val="0"/>
              <w:autoSpaceDN w:val="0"/>
              <w:adjustRightInd w:val="0"/>
              <w:spacing w:after="0" w:line="240" w:lineRule="auto"/>
              <w:jc w:val="right"/>
              <w:rPr>
                <w:rFonts w:cs="Calibri"/>
                <w:b/>
                <w:bCs/>
                <w:color w:val="000000"/>
              </w:rPr>
            </w:pPr>
            <w:r w:rsidRPr="00BE5F8A">
              <w:rPr>
                <w:rFonts w:cs="Calibri"/>
                <w:b/>
                <w:bCs/>
                <w:color w:val="000000"/>
              </w:rPr>
              <w:t>14.094.325.135</w:t>
            </w:r>
          </w:p>
        </w:tc>
      </w:tr>
    </w:tbl>
    <w:p w:rsidR="004120DD" w:rsidRDefault="004120DD" w:rsidP="004120DD">
      <w:pPr>
        <w:jc w:val="both"/>
        <w:rPr>
          <w:rFonts w:eastAsia="Times New Roman" w:cstheme="minorHAnsi"/>
          <w:lang w:eastAsia="hr-HR"/>
        </w:rPr>
      </w:pPr>
      <w:bookmarkStart w:id="5" w:name="_Hlk32320411"/>
    </w:p>
    <w:p w:rsidR="00EF7596" w:rsidRPr="004120DD" w:rsidRDefault="00A234C4" w:rsidP="004120DD">
      <w:pPr>
        <w:jc w:val="both"/>
        <w:rPr>
          <w:rFonts w:eastAsia="Times New Roman" w:cs="Times New Roman"/>
          <w:color w:val="000000"/>
          <w:lang w:eastAsia="hr-HR"/>
        </w:rPr>
      </w:pPr>
      <w:r w:rsidRPr="00BE5F8A">
        <w:rPr>
          <w:rFonts w:eastAsia="Times New Roman" w:cstheme="minorHAnsi"/>
          <w:lang w:eastAsia="hr-HR"/>
        </w:rPr>
        <w:t xml:space="preserve">Tužba pod poslovnim brojem P-3015/14, stranka Hrvatska udruga potrošača infrastrukturnih proizvoda i usluga </w:t>
      </w:r>
      <w:r w:rsidRPr="00BE5F8A">
        <w:rPr>
          <w:rFonts w:eastAsia="Times New Roman" w:cs="Times New Roman"/>
          <w:color w:val="000000"/>
          <w:lang w:eastAsia="hr-HR"/>
        </w:rPr>
        <w:t xml:space="preserve">"INFRASTRUKTURA", </w:t>
      </w:r>
      <w:r w:rsidRPr="00BE5F8A">
        <w:rPr>
          <w:rFonts w:eastAsia="Times New Roman" w:cstheme="minorHAnsi"/>
          <w:lang w:eastAsia="hr-HR"/>
        </w:rPr>
        <w:t>protiv I tuženika Grada i II tuženika Zagrebačke otpadne vode d.o.o. za utvrđenje ništavnosti ugovora, s naznačenom vrijednosti predmeta spora u iznosu od 10.766.724.571,36 kuna čini 76,4 % vrijednosti ukupnih sporova na dan 31.12.2020. godine. Tužba je odbačena rješenjem Trgovačkog suda u Zagrebu od 30. siječnja 2018. godine, a povodom izjavljenih žalbi tužitelja i tuženika predmet je otpremljen na Visoki trgovački sud Republike Hrvatske koji do sada nije donio odluku o žalbama, tako da rješenje još nije pravomoćno.</w:t>
      </w:r>
      <w:r w:rsidRPr="00BE5F8A">
        <w:rPr>
          <w:rFonts w:eastAsia="Times New Roman" w:cstheme="minorHAnsi"/>
          <w:lang w:eastAsia="hr-HR"/>
        </w:rPr>
        <w:tab/>
      </w:r>
      <w:bookmarkEnd w:id="5"/>
      <w:r w:rsidR="00EF7596" w:rsidRPr="00BE5F8A">
        <w:rPr>
          <w:rFonts w:cstheme="minorHAnsi"/>
        </w:rPr>
        <w:tab/>
        <w:t xml:space="preserve">      </w:t>
      </w:r>
    </w:p>
    <w:p w:rsidR="00EF7596" w:rsidRDefault="00EF7596" w:rsidP="005E4779">
      <w:pPr>
        <w:autoSpaceDE w:val="0"/>
        <w:autoSpaceDN w:val="0"/>
        <w:adjustRightInd w:val="0"/>
        <w:spacing w:after="0" w:line="240" w:lineRule="auto"/>
        <w:rPr>
          <w:rFonts w:cstheme="minorHAnsi"/>
        </w:rPr>
      </w:pPr>
    </w:p>
    <w:p w:rsidR="00EF7596" w:rsidRDefault="00EF7596" w:rsidP="005E4779">
      <w:pPr>
        <w:autoSpaceDE w:val="0"/>
        <w:autoSpaceDN w:val="0"/>
        <w:adjustRightInd w:val="0"/>
        <w:spacing w:after="0" w:line="240" w:lineRule="auto"/>
        <w:rPr>
          <w:rFonts w:cstheme="minorHAnsi"/>
        </w:rPr>
      </w:pPr>
      <w:r>
        <w:rPr>
          <w:rFonts w:cstheme="minorHAnsi"/>
        </w:rPr>
        <w:t>BILJEŠKE SASTAVILI:</w:t>
      </w:r>
    </w:p>
    <w:p w:rsidR="00EF7596" w:rsidRDefault="00EF7596" w:rsidP="005E4779">
      <w:pPr>
        <w:autoSpaceDE w:val="0"/>
        <w:autoSpaceDN w:val="0"/>
        <w:adjustRightInd w:val="0"/>
        <w:spacing w:after="0" w:line="240" w:lineRule="auto"/>
        <w:rPr>
          <w:rFonts w:cstheme="minorHAnsi"/>
        </w:rPr>
      </w:pPr>
    </w:p>
    <w:p w:rsidR="00EF7596" w:rsidRDefault="00EF7596" w:rsidP="005E4779">
      <w:pPr>
        <w:autoSpaceDE w:val="0"/>
        <w:autoSpaceDN w:val="0"/>
        <w:adjustRightInd w:val="0"/>
        <w:spacing w:after="0" w:line="240" w:lineRule="auto"/>
        <w:rPr>
          <w:rFonts w:cstheme="minorHAnsi"/>
        </w:rPr>
      </w:pPr>
      <w:r>
        <w:rPr>
          <w:rFonts w:cstheme="minorHAnsi"/>
        </w:rPr>
        <w:t xml:space="preserve">Vesna Ćurković, </w:t>
      </w:r>
      <w:proofErr w:type="spellStart"/>
      <w:r>
        <w:rPr>
          <w:rFonts w:cstheme="minorHAnsi"/>
        </w:rPr>
        <w:t>dipl.oec</w:t>
      </w:r>
      <w:proofErr w:type="spellEnd"/>
      <w:r>
        <w:rPr>
          <w:rFonts w:cstheme="minorHAnsi"/>
        </w:rPr>
        <w:t>.</w:t>
      </w:r>
      <w:r>
        <w:rPr>
          <w:rFonts w:cstheme="minorHAnsi"/>
        </w:rPr>
        <w:tab/>
      </w:r>
      <w:r>
        <w:rPr>
          <w:rFonts w:cstheme="minorHAnsi"/>
        </w:rPr>
        <w:tab/>
      </w:r>
      <w:r>
        <w:rPr>
          <w:rFonts w:cstheme="minorHAnsi"/>
        </w:rPr>
        <w:tab/>
      </w:r>
      <w:r>
        <w:rPr>
          <w:rFonts w:cstheme="minorHAnsi"/>
        </w:rPr>
        <w:tab/>
      </w:r>
    </w:p>
    <w:p w:rsidR="00EF7596" w:rsidRDefault="00EF7596" w:rsidP="005E4779">
      <w:pPr>
        <w:autoSpaceDE w:val="0"/>
        <w:autoSpaceDN w:val="0"/>
        <w:adjustRightInd w:val="0"/>
        <w:spacing w:after="0" w:line="240" w:lineRule="auto"/>
        <w:rPr>
          <w:rFonts w:cstheme="minorHAnsi"/>
        </w:rPr>
      </w:pPr>
    </w:p>
    <w:p w:rsidR="00DE3354" w:rsidRDefault="00EF7596" w:rsidP="005E4779">
      <w:pPr>
        <w:autoSpaceDE w:val="0"/>
        <w:autoSpaceDN w:val="0"/>
        <w:adjustRightInd w:val="0"/>
        <w:spacing w:after="0" w:line="240" w:lineRule="auto"/>
        <w:rPr>
          <w:rFonts w:cstheme="minorHAnsi"/>
        </w:rPr>
      </w:pPr>
      <w:r w:rsidRPr="00685C3D">
        <w:rPr>
          <w:rFonts w:cstheme="minorHAnsi"/>
        </w:rPr>
        <w:t>Katarina Basta Miletić</w:t>
      </w:r>
      <w:r>
        <w:rPr>
          <w:rFonts w:cstheme="minorHAnsi"/>
        </w:rPr>
        <w:t xml:space="preserve">, </w:t>
      </w:r>
      <w:proofErr w:type="spellStart"/>
      <w:r>
        <w:rPr>
          <w:rFonts w:cstheme="minorHAnsi"/>
        </w:rPr>
        <w:t>dipl.oec</w:t>
      </w:r>
      <w:proofErr w:type="spellEnd"/>
      <w:r>
        <w:rPr>
          <w:rFonts w:cstheme="minorHAnsi"/>
        </w:rPr>
        <w:t>.</w:t>
      </w:r>
      <w:r>
        <w:rPr>
          <w:rFonts w:cstheme="minorHAnsi"/>
        </w:rPr>
        <w:tab/>
      </w:r>
    </w:p>
    <w:p w:rsidR="00DE3354" w:rsidRDefault="00DE3354" w:rsidP="005E4779">
      <w:pPr>
        <w:autoSpaceDE w:val="0"/>
        <w:autoSpaceDN w:val="0"/>
        <w:adjustRightInd w:val="0"/>
        <w:spacing w:after="0" w:line="240" w:lineRule="auto"/>
        <w:rPr>
          <w:rFonts w:cstheme="minorHAnsi"/>
        </w:rPr>
      </w:pPr>
    </w:p>
    <w:p w:rsidR="00A234C4" w:rsidRDefault="00DE3354" w:rsidP="005E4779">
      <w:pPr>
        <w:autoSpaceDE w:val="0"/>
        <w:autoSpaceDN w:val="0"/>
        <w:adjustRightInd w:val="0"/>
        <w:spacing w:after="0" w:line="240" w:lineRule="auto"/>
        <w:rPr>
          <w:rFonts w:cstheme="minorHAnsi"/>
        </w:rPr>
      </w:pPr>
      <w:r>
        <w:rPr>
          <w:rFonts w:cstheme="minorHAnsi"/>
        </w:rPr>
        <w:t xml:space="preserve">Mirica Bedeković, </w:t>
      </w:r>
      <w:proofErr w:type="spellStart"/>
      <w:r>
        <w:rPr>
          <w:rFonts w:cstheme="minorHAnsi"/>
        </w:rPr>
        <w:t>dipl.oec</w:t>
      </w:r>
      <w:proofErr w:type="spellEnd"/>
      <w:r>
        <w:rPr>
          <w:rFonts w:cstheme="minorHAnsi"/>
        </w:rPr>
        <w:t>.</w:t>
      </w:r>
    </w:p>
    <w:p w:rsidR="00EF7596" w:rsidRDefault="00DE3354" w:rsidP="005E4779">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EF7596">
        <w:rPr>
          <w:rFonts w:cstheme="minorHAnsi"/>
        </w:rPr>
        <w:tab/>
      </w:r>
      <w:r w:rsidR="00EF7596">
        <w:rPr>
          <w:rFonts w:cstheme="minorHAnsi"/>
        </w:rPr>
        <w:tab/>
      </w:r>
      <w:r w:rsidR="00A234C4">
        <w:rPr>
          <w:rFonts w:cstheme="minorHAnsi"/>
        </w:rPr>
        <w:tab/>
      </w:r>
      <w:r w:rsidR="00A234C4">
        <w:rPr>
          <w:rFonts w:cstheme="minorHAnsi"/>
        </w:rPr>
        <w:tab/>
      </w:r>
      <w:r w:rsidR="00A234C4">
        <w:rPr>
          <w:rFonts w:cstheme="minorHAnsi"/>
        </w:rPr>
        <w:tab/>
      </w:r>
      <w:r w:rsidR="00EF7596">
        <w:rPr>
          <w:rFonts w:cstheme="minorHAnsi"/>
        </w:rPr>
        <w:t>M.P.</w:t>
      </w:r>
    </w:p>
    <w:p w:rsidR="00EF7596" w:rsidRDefault="00A234C4" w:rsidP="00A234C4">
      <w:pPr>
        <w:autoSpaceDE w:val="0"/>
        <w:autoSpaceDN w:val="0"/>
        <w:adjustRightInd w:val="0"/>
        <w:spacing w:after="0" w:line="240" w:lineRule="auto"/>
        <w:rPr>
          <w:rFonts w:cstheme="minorHAnsi"/>
        </w:rPr>
      </w:pPr>
      <w:r>
        <w:rPr>
          <w:rFonts w:cstheme="minorHAnsi"/>
        </w:rPr>
        <w:t xml:space="preserve">Ivana Lučić, dipl. </w:t>
      </w:r>
      <w:proofErr w:type="spellStart"/>
      <w:r>
        <w:rPr>
          <w:rFonts w:cstheme="minorHAnsi"/>
        </w:rPr>
        <w:t>oec</w:t>
      </w:r>
      <w:proofErr w:type="spellEnd"/>
      <w:r w:rsidR="00EF7596">
        <w:rPr>
          <w:rFonts w:cstheme="minorHAnsi"/>
        </w:rPr>
        <w:tab/>
      </w:r>
      <w:r w:rsidR="00EF7596">
        <w:rPr>
          <w:rFonts w:cstheme="minorHAnsi"/>
        </w:rPr>
        <w:tab/>
      </w:r>
      <w:r w:rsidR="00EF7596">
        <w:rPr>
          <w:rFonts w:cstheme="minorHAnsi"/>
        </w:rPr>
        <w:tab/>
      </w:r>
      <w:r w:rsidR="00EF7596">
        <w:rPr>
          <w:rFonts w:cstheme="minorHAnsi"/>
        </w:rPr>
        <w:tab/>
      </w:r>
      <w:r w:rsidR="00EF7596">
        <w:rPr>
          <w:rFonts w:cstheme="minorHAnsi"/>
        </w:rPr>
        <w:tab/>
      </w:r>
      <w:r w:rsidR="00EF7596">
        <w:rPr>
          <w:rFonts w:cstheme="minorHAnsi"/>
        </w:rPr>
        <w:tab/>
      </w:r>
      <w:r w:rsidR="00EF7596">
        <w:rPr>
          <w:rFonts w:cstheme="minorHAnsi"/>
        </w:rPr>
        <w:tab/>
      </w:r>
      <w:r>
        <w:rPr>
          <w:rFonts w:cstheme="minorHAnsi"/>
        </w:rPr>
        <w:t xml:space="preserve">   GRADONAČELNIK</w:t>
      </w:r>
      <w:r w:rsidR="00EF7596">
        <w:rPr>
          <w:rFonts w:cstheme="minorHAnsi"/>
        </w:rPr>
        <w:tab/>
      </w:r>
      <w:r w:rsidR="00EF7596">
        <w:rPr>
          <w:rFonts w:cstheme="minorHAnsi"/>
        </w:rPr>
        <w:tab/>
        <w:t xml:space="preserve">     </w:t>
      </w:r>
      <w:r>
        <w:rPr>
          <w:rFonts w:cstheme="minorHAnsi"/>
        </w:rPr>
        <w:t xml:space="preserve">  </w:t>
      </w:r>
    </w:p>
    <w:p w:rsidR="00EF7596" w:rsidRDefault="00A234C4" w:rsidP="00A234C4">
      <w:pPr>
        <w:autoSpaceDE w:val="0"/>
        <w:autoSpaceDN w:val="0"/>
        <w:adjustRightInd w:val="0"/>
        <w:spacing w:after="0" w:line="240" w:lineRule="auto"/>
        <w:ind w:left="5664"/>
        <w:rPr>
          <w:rFonts w:cstheme="minorHAnsi"/>
        </w:rPr>
      </w:pPr>
      <w:r>
        <w:rPr>
          <w:rFonts w:cstheme="minorHAnsi"/>
        </w:rPr>
        <w:t xml:space="preserve">       </w:t>
      </w:r>
      <w:r w:rsidR="00EF7596">
        <w:rPr>
          <w:rFonts w:cstheme="minorHAnsi"/>
        </w:rPr>
        <w:t xml:space="preserve">Milan Bandić, </w:t>
      </w:r>
      <w:proofErr w:type="spellStart"/>
      <w:r w:rsidR="00EF7596">
        <w:rPr>
          <w:rFonts w:cstheme="minorHAnsi"/>
        </w:rPr>
        <w:t>dipl.politolog</w:t>
      </w:r>
      <w:proofErr w:type="spellEnd"/>
      <w:r w:rsidR="00EF7596">
        <w:rPr>
          <w:rFonts w:cstheme="minorHAnsi"/>
        </w:rPr>
        <w:t xml:space="preserve"> </w:t>
      </w:r>
    </w:p>
    <w:p w:rsidR="00720F89" w:rsidRPr="00EF7596" w:rsidRDefault="00F41F10" w:rsidP="005E4779">
      <w:pPr>
        <w:autoSpaceDE w:val="0"/>
        <w:autoSpaceDN w:val="0"/>
        <w:adjustRightInd w:val="0"/>
        <w:spacing w:after="0" w:line="240" w:lineRule="auto"/>
        <w:rPr>
          <w:rFonts w:cstheme="minorHAnsi"/>
        </w:rPr>
      </w:pPr>
      <w:r w:rsidRPr="00EF7596">
        <w:rPr>
          <w:rFonts w:cstheme="minorHAnsi"/>
        </w:rPr>
        <w:tab/>
        <w:t xml:space="preserve">    </w:t>
      </w:r>
      <w:r w:rsidR="00C45107" w:rsidRPr="00EF7596">
        <w:rPr>
          <w:rFonts w:cstheme="minorHAnsi"/>
        </w:rPr>
        <w:t xml:space="preserve">  </w:t>
      </w:r>
    </w:p>
    <w:sectPr w:rsidR="00720F89" w:rsidRPr="00EF759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D09" w:rsidRDefault="00527D09" w:rsidP="003F1F8D">
      <w:pPr>
        <w:spacing w:after="0" w:line="240" w:lineRule="auto"/>
      </w:pPr>
      <w:r>
        <w:separator/>
      </w:r>
    </w:p>
  </w:endnote>
  <w:endnote w:type="continuationSeparator" w:id="0">
    <w:p w:rsidR="00527D09" w:rsidRDefault="00527D09" w:rsidP="003F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783951"/>
      <w:docPartObj>
        <w:docPartGallery w:val="Page Numbers (Bottom of Page)"/>
        <w:docPartUnique/>
      </w:docPartObj>
    </w:sdtPr>
    <w:sdtContent>
      <w:p w:rsidR="00527D09" w:rsidRDefault="00527D09">
        <w:pPr>
          <w:pStyle w:val="Footer"/>
          <w:jc w:val="center"/>
        </w:pPr>
        <w:r>
          <w:fldChar w:fldCharType="begin"/>
        </w:r>
        <w:r>
          <w:instrText>PAGE   \* MERGEFORMAT</w:instrText>
        </w:r>
        <w:r>
          <w:fldChar w:fldCharType="separate"/>
        </w:r>
        <w:r>
          <w:t>2</w:t>
        </w:r>
        <w:r>
          <w:fldChar w:fldCharType="end"/>
        </w:r>
      </w:p>
    </w:sdtContent>
  </w:sdt>
  <w:p w:rsidR="00527D09" w:rsidRDefault="0052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D09" w:rsidRDefault="00527D09" w:rsidP="003F1F8D">
      <w:pPr>
        <w:spacing w:after="0" w:line="240" w:lineRule="auto"/>
      </w:pPr>
      <w:r>
        <w:separator/>
      </w:r>
    </w:p>
  </w:footnote>
  <w:footnote w:type="continuationSeparator" w:id="0">
    <w:p w:rsidR="00527D09" w:rsidRDefault="00527D09" w:rsidP="003F1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D58"/>
    <w:multiLevelType w:val="multilevel"/>
    <w:tmpl w:val="32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F3D1F"/>
    <w:multiLevelType w:val="multilevel"/>
    <w:tmpl w:val="F94EC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E01FB"/>
    <w:multiLevelType w:val="hybridMultilevel"/>
    <w:tmpl w:val="86E2FF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8B706E"/>
    <w:multiLevelType w:val="multilevel"/>
    <w:tmpl w:val="1E0E4C6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3A96FC9"/>
    <w:multiLevelType w:val="hybridMultilevel"/>
    <w:tmpl w:val="FF46AE44"/>
    <w:lvl w:ilvl="0" w:tplc="A2F664D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865553"/>
    <w:multiLevelType w:val="hybridMultilevel"/>
    <w:tmpl w:val="0D1C3EE6"/>
    <w:lvl w:ilvl="0" w:tplc="D1B489D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 w15:restartNumberingAfterBreak="0">
    <w:nsid w:val="1AA849FC"/>
    <w:multiLevelType w:val="hybridMultilevel"/>
    <w:tmpl w:val="91447AFA"/>
    <w:lvl w:ilvl="0" w:tplc="21CE4676">
      <w:numFmt w:val="bullet"/>
      <w:lvlText w:val="-"/>
      <w:lvlJc w:val="left"/>
      <w:pPr>
        <w:ind w:left="720" w:hanging="360"/>
      </w:pPr>
      <w:rPr>
        <w:rFonts w:ascii="Calibri" w:eastAsiaTheme="minorHAnsi" w:hAnsi="Calibri" w:cstheme="minorHAns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9847FF"/>
    <w:multiLevelType w:val="hybridMultilevel"/>
    <w:tmpl w:val="528404F0"/>
    <w:lvl w:ilvl="0" w:tplc="E8302E3E">
      <w:start w:val="2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AB452B"/>
    <w:multiLevelType w:val="hybridMultilevel"/>
    <w:tmpl w:val="FE2A4CEC"/>
    <w:lvl w:ilvl="0" w:tplc="0FDCE544">
      <w:start w:val="5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A11653"/>
    <w:multiLevelType w:val="multilevel"/>
    <w:tmpl w:val="56A42C4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9240BB3"/>
    <w:multiLevelType w:val="hybridMultilevel"/>
    <w:tmpl w:val="A1D025A6"/>
    <w:lvl w:ilvl="0" w:tplc="4C4C818E">
      <w:numFmt w:val="bullet"/>
      <w:lvlText w:val="-"/>
      <w:lvlJc w:val="left"/>
      <w:pPr>
        <w:ind w:left="1065" w:hanging="360"/>
      </w:pPr>
      <w:rPr>
        <w:rFonts w:ascii="Calibri" w:eastAsiaTheme="minorEastAsia"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2CD945A3"/>
    <w:multiLevelType w:val="hybridMultilevel"/>
    <w:tmpl w:val="8C9CA8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0616BC"/>
    <w:multiLevelType w:val="hybridMultilevel"/>
    <w:tmpl w:val="B58A2792"/>
    <w:lvl w:ilvl="0" w:tplc="2E3AE07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C92290"/>
    <w:multiLevelType w:val="hybridMultilevel"/>
    <w:tmpl w:val="586CB1B2"/>
    <w:lvl w:ilvl="0" w:tplc="70A021DC">
      <w:start w:val="1"/>
      <w:numFmt w:val="bullet"/>
      <w:lvlText w:val="-"/>
      <w:lvlJc w:val="left"/>
      <w:pPr>
        <w:ind w:left="720" w:hanging="360"/>
      </w:pPr>
      <w:rPr>
        <w:rFonts w:ascii="Calibri" w:eastAsia="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9F2AB8"/>
    <w:multiLevelType w:val="hybridMultilevel"/>
    <w:tmpl w:val="EFECD5B6"/>
    <w:lvl w:ilvl="0" w:tplc="97FC4B88">
      <w:start w:val="10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A616B4"/>
    <w:multiLevelType w:val="hybridMultilevel"/>
    <w:tmpl w:val="709EDA38"/>
    <w:lvl w:ilvl="0" w:tplc="3C168980">
      <w:start w:val="18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8F0D70"/>
    <w:multiLevelType w:val="hybridMultilevel"/>
    <w:tmpl w:val="D0EED6AE"/>
    <w:lvl w:ilvl="0" w:tplc="10B0ACE2">
      <w:start w:val="5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DB0781"/>
    <w:multiLevelType w:val="hybridMultilevel"/>
    <w:tmpl w:val="124E7EE6"/>
    <w:lvl w:ilvl="0" w:tplc="CB8E9E0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B05D01"/>
    <w:multiLevelType w:val="multilevel"/>
    <w:tmpl w:val="90ACC1F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4DC6319"/>
    <w:multiLevelType w:val="multilevel"/>
    <w:tmpl w:val="1E74992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67416EE"/>
    <w:multiLevelType w:val="hybridMultilevel"/>
    <w:tmpl w:val="F91677B6"/>
    <w:lvl w:ilvl="0" w:tplc="2C2281B8">
      <w:start w:val="356"/>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9E01F0"/>
    <w:multiLevelType w:val="multilevel"/>
    <w:tmpl w:val="F69A16D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CD96460"/>
    <w:multiLevelType w:val="multilevel"/>
    <w:tmpl w:val="1AE669B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0"/>
  </w:num>
  <w:num w:numId="3">
    <w:abstractNumId w:val="20"/>
  </w:num>
  <w:num w:numId="4">
    <w:abstractNumId w:val="8"/>
  </w:num>
  <w:num w:numId="5">
    <w:abstractNumId w:val="16"/>
  </w:num>
  <w:num w:numId="6">
    <w:abstractNumId w:val="15"/>
  </w:num>
  <w:num w:numId="7">
    <w:abstractNumId w:val="17"/>
  </w:num>
  <w:num w:numId="8">
    <w:abstractNumId w:val="14"/>
  </w:num>
  <w:num w:numId="9">
    <w:abstractNumId w:val="10"/>
  </w:num>
  <w:num w:numId="10">
    <w:abstractNumId w:val="5"/>
  </w:num>
  <w:num w:numId="11">
    <w:abstractNumId w:val="7"/>
  </w:num>
  <w:num w:numId="12">
    <w:abstractNumId w:val="11"/>
  </w:num>
  <w:num w:numId="13">
    <w:abstractNumId w:val="13"/>
  </w:num>
  <w:num w:numId="14">
    <w:abstractNumId w:val="2"/>
  </w:num>
  <w:num w:numId="15">
    <w:abstractNumId w:val="4"/>
  </w:num>
  <w:num w:numId="16">
    <w:abstractNumId w:val="12"/>
  </w:num>
  <w:num w:numId="17">
    <w:abstractNumId w:val="22"/>
  </w:num>
  <w:num w:numId="18">
    <w:abstractNumId w:val="19"/>
  </w:num>
  <w:num w:numId="19">
    <w:abstractNumId w:val="3"/>
  </w:num>
  <w:num w:numId="20">
    <w:abstractNumId w:val="1"/>
  </w:num>
  <w:num w:numId="21">
    <w:abstractNumId w:val="1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38"/>
    <w:rsid w:val="00003D36"/>
    <w:rsid w:val="000110FA"/>
    <w:rsid w:val="00012574"/>
    <w:rsid w:val="00025145"/>
    <w:rsid w:val="000346C1"/>
    <w:rsid w:val="00045308"/>
    <w:rsid w:val="0004581C"/>
    <w:rsid w:val="000505BB"/>
    <w:rsid w:val="000534AA"/>
    <w:rsid w:val="00065AB9"/>
    <w:rsid w:val="00072238"/>
    <w:rsid w:val="00076E84"/>
    <w:rsid w:val="0008456B"/>
    <w:rsid w:val="00084E3B"/>
    <w:rsid w:val="000A3748"/>
    <w:rsid w:val="000A4351"/>
    <w:rsid w:val="000A454D"/>
    <w:rsid w:val="000A6325"/>
    <w:rsid w:val="000B156B"/>
    <w:rsid w:val="000C19A2"/>
    <w:rsid w:val="000C26DD"/>
    <w:rsid w:val="000C2879"/>
    <w:rsid w:val="000C346D"/>
    <w:rsid w:val="000C7002"/>
    <w:rsid w:val="000E657B"/>
    <w:rsid w:val="000E7DBF"/>
    <w:rsid w:val="000F5BFB"/>
    <w:rsid w:val="000F652B"/>
    <w:rsid w:val="00100249"/>
    <w:rsid w:val="00114338"/>
    <w:rsid w:val="00116B4E"/>
    <w:rsid w:val="00125603"/>
    <w:rsid w:val="001419C4"/>
    <w:rsid w:val="001450C6"/>
    <w:rsid w:val="0015583D"/>
    <w:rsid w:val="0016519D"/>
    <w:rsid w:val="00166000"/>
    <w:rsid w:val="00174EF8"/>
    <w:rsid w:val="00181CFF"/>
    <w:rsid w:val="001856A9"/>
    <w:rsid w:val="00186875"/>
    <w:rsid w:val="001917BD"/>
    <w:rsid w:val="00194E15"/>
    <w:rsid w:val="00194E52"/>
    <w:rsid w:val="001962BF"/>
    <w:rsid w:val="001A551C"/>
    <w:rsid w:val="001B46C1"/>
    <w:rsid w:val="001B5FD7"/>
    <w:rsid w:val="001C1D18"/>
    <w:rsid w:val="001C3101"/>
    <w:rsid w:val="001D16D4"/>
    <w:rsid w:val="001D4079"/>
    <w:rsid w:val="001E0D7D"/>
    <w:rsid w:val="001E3A6B"/>
    <w:rsid w:val="001E4BB7"/>
    <w:rsid w:val="001F72E2"/>
    <w:rsid w:val="001F74F0"/>
    <w:rsid w:val="00200203"/>
    <w:rsid w:val="00202886"/>
    <w:rsid w:val="0022023A"/>
    <w:rsid w:val="002208FE"/>
    <w:rsid w:val="002251BE"/>
    <w:rsid w:val="002337C2"/>
    <w:rsid w:val="00237AF6"/>
    <w:rsid w:val="00242C30"/>
    <w:rsid w:val="00245F16"/>
    <w:rsid w:val="0025107C"/>
    <w:rsid w:val="00251C5D"/>
    <w:rsid w:val="00252EE1"/>
    <w:rsid w:val="0025688A"/>
    <w:rsid w:val="00262E07"/>
    <w:rsid w:val="00263C36"/>
    <w:rsid w:val="00270273"/>
    <w:rsid w:val="00270A1A"/>
    <w:rsid w:val="00271AD8"/>
    <w:rsid w:val="00281800"/>
    <w:rsid w:val="00285D70"/>
    <w:rsid w:val="002923C2"/>
    <w:rsid w:val="002A0826"/>
    <w:rsid w:val="002A2612"/>
    <w:rsid w:val="002A28F4"/>
    <w:rsid w:val="002A7B42"/>
    <w:rsid w:val="002B07CF"/>
    <w:rsid w:val="002B4A35"/>
    <w:rsid w:val="002C4066"/>
    <w:rsid w:val="002C7A08"/>
    <w:rsid w:val="002D74F3"/>
    <w:rsid w:val="002E14E9"/>
    <w:rsid w:val="002E2D48"/>
    <w:rsid w:val="002E478D"/>
    <w:rsid w:val="002F4FE7"/>
    <w:rsid w:val="00300A4C"/>
    <w:rsid w:val="00315625"/>
    <w:rsid w:val="003271C2"/>
    <w:rsid w:val="00327598"/>
    <w:rsid w:val="00333178"/>
    <w:rsid w:val="003356D0"/>
    <w:rsid w:val="00340ED0"/>
    <w:rsid w:val="00344760"/>
    <w:rsid w:val="003451C3"/>
    <w:rsid w:val="003455B1"/>
    <w:rsid w:val="00345821"/>
    <w:rsid w:val="00346792"/>
    <w:rsid w:val="003519C0"/>
    <w:rsid w:val="00352B43"/>
    <w:rsid w:val="00353084"/>
    <w:rsid w:val="003531BB"/>
    <w:rsid w:val="00355687"/>
    <w:rsid w:val="00355F07"/>
    <w:rsid w:val="00360207"/>
    <w:rsid w:val="00365D79"/>
    <w:rsid w:val="00365FFB"/>
    <w:rsid w:val="00367196"/>
    <w:rsid w:val="00373387"/>
    <w:rsid w:val="003930BE"/>
    <w:rsid w:val="00393965"/>
    <w:rsid w:val="00394B92"/>
    <w:rsid w:val="003968A8"/>
    <w:rsid w:val="00396C33"/>
    <w:rsid w:val="00397ADA"/>
    <w:rsid w:val="003A3A4E"/>
    <w:rsid w:val="003A5991"/>
    <w:rsid w:val="003A6156"/>
    <w:rsid w:val="003B1587"/>
    <w:rsid w:val="003C0DC3"/>
    <w:rsid w:val="003C4E4D"/>
    <w:rsid w:val="003D5D72"/>
    <w:rsid w:val="003E338E"/>
    <w:rsid w:val="003F1F8D"/>
    <w:rsid w:val="003F5D90"/>
    <w:rsid w:val="004019CF"/>
    <w:rsid w:val="0041091A"/>
    <w:rsid w:val="004115C2"/>
    <w:rsid w:val="004120DD"/>
    <w:rsid w:val="004264FE"/>
    <w:rsid w:val="00436742"/>
    <w:rsid w:val="00436CF6"/>
    <w:rsid w:val="004379D7"/>
    <w:rsid w:val="00452217"/>
    <w:rsid w:val="004600CC"/>
    <w:rsid w:val="004608F2"/>
    <w:rsid w:val="00471830"/>
    <w:rsid w:val="004917FA"/>
    <w:rsid w:val="004962C7"/>
    <w:rsid w:val="004A0318"/>
    <w:rsid w:val="004B64E9"/>
    <w:rsid w:val="004B679E"/>
    <w:rsid w:val="004C4833"/>
    <w:rsid w:val="004C5A28"/>
    <w:rsid w:val="004C5E24"/>
    <w:rsid w:val="004D478B"/>
    <w:rsid w:val="004D52F1"/>
    <w:rsid w:val="004D6EE7"/>
    <w:rsid w:val="004E6BB7"/>
    <w:rsid w:val="004F1269"/>
    <w:rsid w:val="004F309D"/>
    <w:rsid w:val="00515A54"/>
    <w:rsid w:val="00516BD8"/>
    <w:rsid w:val="00527D09"/>
    <w:rsid w:val="00534892"/>
    <w:rsid w:val="00545987"/>
    <w:rsid w:val="005710D7"/>
    <w:rsid w:val="00576572"/>
    <w:rsid w:val="00582AAD"/>
    <w:rsid w:val="005973B3"/>
    <w:rsid w:val="005E0B02"/>
    <w:rsid w:val="005E23FF"/>
    <w:rsid w:val="005E3CB3"/>
    <w:rsid w:val="005E4779"/>
    <w:rsid w:val="005E5FFE"/>
    <w:rsid w:val="005E6813"/>
    <w:rsid w:val="005F51CA"/>
    <w:rsid w:val="005F5E02"/>
    <w:rsid w:val="005F6045"/>
    <w:rsid w:val="005F7E79"/>
    <w:rsid w:val="006063E7"/>
    <w:rsid w:val="0061001D"/>
    <w:rsid w:val="00610759"/>
    <w:rsid w:val="006169B2"/>
    <w:rsid w:val="00617F9A"/>
    <w:rsid w:val="00624B03"/>
    <w:rsid w:val="0064340F"/>
    <w:rsid w:val="006439B3"/>
    <w:rsid w:val="00644D2D"/>
    <w:rsid w:val="006511FB"/>
    <w:rsid w:val="00660079"/>
    <w:rsid w:val="006627CA"/>
    <w:rsid w:val="006629DA"/>
    <w:rsid w:val="00666593"/>
    <w:rsid w:val="00667103"/>
    <w:rsid w:val="0067283E"/>
    <w:rsid w:val="00681FCF"/>
    <w:rsid w:val="006B058E"/>
    <w:rsid w:val="006B7D4D"/>
    <w:rsid w:val="006C1FA0"/>
    <w:rsid w:val="006C6859"/>
    <w:rsid w:val="006D3002"/>
    <w:rsid w:val="006D3BDB"/>
    <w:rsid w:val="006D55D2"/>
    <w:rsid w:val="006E4E45"/>
    <w:rsid w:val="006E7A3C"/>
    <w:rsid w:val="006F6826"/>
    <w:rsid w:val="006F73C1"/>
    <w:rsid w:val="007075BB"/>
    <w:rsid w:val="00711083"/>
    <w:rsid w:val="00720F89"/>
    <w:rsid w:val="007226A0"/>
    <w:rsid w:val="00726AE0"/>
    <w:rsid w:val="00731EFB"/>
    <w:rsid w:val="007341E5"/>
    <w:rsid w:val="007472D1"/>
    <w:rsid w:val="00766BEE"/>
    <w:rsid w:val="0076773A"/>
    <w:rsid w:val="00767AE9"/>
    <w:rsid w:val="007720FF"/>
    <w:rsid w:val="00782771"/>
    <w:rsid w:val="00782EC9"/>
    <w:rsid w:val="0078779E"/>
    <w:rsid w:val="00793852"/>
    <w:rsid w:val="00794D4D"/>
    <w:rsid w:val="0079517F"/>
    <w:rsid w:val="0079684E"/>
    <w:rsid w:val="00796EF4"/>
    <w:rsid w:val="007A1F4D"/>
    <w:rsid w:val="007A5D1C"/>
    <w:rsid w:val="007A6E94"/>
    <w:rsid w:val="007C2FC2"/>
    <w:rsid w:val="007C3985"/>
    <w:rsid w:val="007E0499"/>
    <w:rsid w:val="007E1E18"/>
    <w:rsid w:val="007E610A"/>
    <w:rsid w:val="007F1DA2"/>
    <w:rsid w:val="007F5503"/>
    <w:rsid w:val="007F6A91"/>
    <w:rsid w:val="008007E8"/>
    <w:rsid w:val="0080660A"/>
    <w:rsid w:val="00826362"/>
    <w:rsid w:val="00833345"/>
    <w:rsid w:val="00835491"/>
    <w:rsid w:val="00837FD9"/>
    <w:rsid w:val="00841062"/>
    <w:rsid w:val="008602B0"/>
    <w:rsid w:val="00860748"/>
    <w:rsid w:val="00872243"/>
    <w:rsid w:val="00872559"/>
    <w:rsid w:val="00872577"/>
    <w:rsid w:val="00872A99"/>
    <w:rsid w:val="00875C50"/>
    <w:rsid w:val="008812CC"/>
    <w:rsid w:val="008864EE"/>
    <w:rsid w:val="008A3A79"/>
    <w:rsid w:val="008B1B15"/>
    <w:rsid w:val="008B6E7D"/>
    <w:rsid w:val="008B7F80"/>
    <w:rsid w:val="008C0714"/>
    <w:rsid w:val="008C0C40"/>
    <w:rsid w:val="008C0F41"/>
    <w:rsid w:val="008C3BB4"/>
    <w:rsid w:val="008D0FC4"/>
    <w:rsid w:val="008E3FF2"/>
    <w:rsid w:val="008E5F8A"/>
    <w:rsid w:val="008E7206"/>
    <w:rsid w:val="008F12A6"/>
    <w:rsid w:val="008F6779"/>
    <w:rsid w:val="0090267A"/>
    <w:rsid w:val="009039DB"/>
    <w:rsid w:val="0090550D"/>
    <w:rsid w:val="009109D9"/>
    <w:rsid w:val="00910D5B"/>
    <w:rsid w:val="00915E83"/>
    <w:rsid w:val="00917B5C"/>
    <w:rsid w:val="00917BB4"/>
    <w:rsid w:val="00934BA3"/>
    <w:rsid w:val="00936AD5"/>
    <w:rsid w:val="009438B8"/>
    <w:rsid w:val="009445A8"/>
    <w:rsid w:val="009460B6"/>
    <w:rsid w:val="009462C2"/>
    <w:rsid w:val="00947D63"/>
    <w:rsid w:val="00950A5E"/>
    <w:rsid w:val="00956041"/>
    <w:rsid w:val="009578B3"/>
    <w:rsid w:val="00965E84"/>
    <w:rsid w:val="00970086"/>
    <w:rsid w:val="00970467"/>
    <w:rsid w:val="0097236E"/>
    <w:rsid w:val="0097306F"/>
    <w:rsid w:val="009810DD"/>
    <w:rsid w:val="00983600"/>
    <w:rsid w:val="00985D2D"/>
    <w:rsid w:val="00997BBA"/>
    <w:rsid w:val="009A2B8A"/>
    <w:rsid w:val="009A6640"/>
    <w:rsid w:val="009B611F"/>
    <w:rsid w:val="009C7525"/>
    <w:rsid w:val="009C7B25"/>
    <w:rsid w:val="009D3513"/>
    <w:rsid w:val="009E32A8"/>
    <w:rsid w:val="009F0C4D"/>
    <w:rsid w:val="009F3D0C"/>
    <w:rsid w:val="009F6146"/>
    <w:rsid w:val="00A2270F"/>
    <w:rsid w:val="00A234C4"/>
    <w:rsid w:val="00A3521B"/>
    <w:rsid w:val="00A42301"/>
    <w:rsid w:val="00A468EF"/>
    <w:rsid w:val="00A51FF2"/>
    <w:rsid w:val="00A5321A"/>
    <w:rsid w:val="00A57962"/>
    <w:rsid w:val="00A70C97"/>
    <w:rsid w:val="00A7431C"/>
    <w:rsid w:val="00A7500C"/>
    <w:rsid w:val="00A76A7E"/>
    <w:rsid w:val="00A927CF"/>
    <w:rsid w:val="00AA2DA7"/>
    <w:rsid w:val="00AA3ABC"/>
    <w:rsid w:val="00AB2F81"/>
    <w:rsid w:val="00AB500A"/>
    <w:rsid w:val="00AC52D2"/>
    <w:rsid w:val="00AD41DD"/>
    <w:rsid w:val="00AD7813"/>
    <w:rsid w:val="00AE5B88"/>
    <w:rsid w:val="00AE7C96"/>
    <w:rsid w:val="00AF1018"/>
    <w:rsid w:val="00AF2041"/>
    <w:rsid w:val="00B05CAB"/>
    <w:rsid w:val="00B069EC"/>
    <w:rsid w:val="00B15212"/>
    <w:rsid w:val="00B15E67"/>
    <w:rsid w:val="00B32244"/>
    <w:rsid w:val="00B332B1"/>
    <w:rsid w:val="00B33A09"/>
    <w:rsid w:val="00B34B8D"/>
    <w:rsid w:val="00B36F34"/>
    <w:rsid w:val="00B430C1"/>
    <w:rsid w:val="00B504D1"/>
    <w:rsid w:val="00B64FAD"/>
    <w:rsid w:val="00B77354"/>
    <w:rsid w:val="00B83E65"/>
    <w:rsid w:val="00B90E81"/>
    <w:rsid w:val="00BB13F1"/>
    <w:rsid w:val="00BC5AC3"/>
    <w:rsid w:val="00BD48B0"/>
    <w:rsid w:val="00BE02EA"/>
    <w:rsid w:val="00BE1107"/>
    <w:rsid w:val="00BE259F"/>
    <w:rsid w:val="00BE5F8A"/>
    <w:rsid w:val="00BE7C19"/>
    <w:rsid w:val="00BF1959"/>
    <w:rsid w:val="00BF3089"/>
    <w:rsid w:val="00C0267C"/>
    <w:rsid w:val="00C03E22"/>
    <w:rsid w:val="00C335E5"/>
    <w:rsid w:val="00C33ED6"/>
    <w:rsid w:val="00C36267"/>
    <w:rsid w:val="00C36F97"/>
    <w:rsid w:val="00C40256"/>
    <w:rsid w:val="00C41C9A"/>
    <w:rsid w:val="00C4321C"/>
    <w:rsid w:val="00C44134"/>
    <w:rsid w:val="00C44F5A"/>
    <w:rsid w:val="00C45107"/>
    <w:rsid w:val="00C45C7B"/>
    <w:rsid w:val="00C46CB4"/>
    <w:rsid w:val="00C60DF9"/>
    <w:rsid w:val="00C8363A"/>
    <w:rsid w:val="00C8382A"/>
    <w:rsid w:val="00C91165"/>
    <w:rsid w:val="00C92345"/>
    <w:rsid w:val="00CA3472"/>
    <w:rsid w:val="00CB5B34"/>
    <w:rsid w:val="00CC01CC"/>
    <w:rsid w:val="00CC3622"/>
    <w:rsid w:val="00CC3D66"/>
    <w:rsid w:val="00CD190F"/>
    <w:rsid w:val="00CD30FD"/>
    <w:rsid w:val="00CE07FA"/>
    <w:rsid w:val="00CE19CE"/>
    <w:rsid w:val="00D06BE6"/>
    <w:rsid w:val="00D131EB"/>
    <w:rsid w:val="00D13EBC"/>
    <w:rsid w:val="00D2178F"/>
    <w:rsid w:val="00D227FF"/>
    <w:rsid w:val="00D2397E"/>
    <w:rsid w:val="00D25B6F"/>
    <w:rsid w:val="00D25D0F"/>
    <w:rsid w:val="00D32519"/>
    <w:rsid w:val="00D33216"/>
    <w:rsid w:val="00D44B89"/>
    <w:rsid w:val="00D50769"/>
    <w:rsid w:val="00D55413"/>
    <w:rsid w:val="00D62EC5"/>
    <w:rsid w:val="00D6377C"/>
    <w:rsid w:val="00D712FC"/>
    <w:rsid w:val="00D72821"/>
    <w:rsid w:val="00D7635D"/>
    <w:rsid w:val="00D76BAB"/>
    <w:rsid w:val="00D86A6A"/>
    <w:rsid w:val="00D9558D"/>
    <w:rsid w:val="00D976A6"/>
    <w:rsid w:val="00DA14C0"/>
    <w:rsid w:val="00DA1A0D"/>
    <w:rsid w:val="00DC40E7"/>
    <w:rsid w:val="00DC4E5C"/>
    <w:rsid w:val="00DC530F"/>
    <w:rsid w:val="00DC754E"/>
    <w:rsid w:val="00DD1576"/>
    <w:rsid w:val="00DD4451"/>
    <w:rsid w:val="00DD635D"/>
    <w:rsid w:val="00DE021B"/>
    <w:rsid w:val="00DE3354"/>
    <w:rsid w:val="00DF1028"/>
    <w:rsid w:val="00E0147F"/>
    <w:rsid w:val="00E05C19"/>
    <w:rsid w:val="00E16AA0"/>
    <w:rsid w:val="00E22478"/>
    <w:rsid w:val="00E22E3E"/>
    <w:rsid w:val="00E26898"/>
    <w:rsid w:val="00E309E6"/>
    <w:rsid w:val="00E30A88"/>
    <w:rsid w:val="00E41B95"/>
    <w:rsid w:val="00E72083"/>
    <w:rsid w:val="00E94C08"/>
    <w:rsid w:val="00E952BD"/>
    <w:rsid w:val="00E97DDA"/>
    <w:rsid w:val="00EA0E33"/>
    <w:rsid w:val="00EB795B"/>
    <w:rsid w:val="00EC1110"/>
    <w:rsid w:val="00EC7B51"/>
    <w:rsid w:val="00ED51F8"/>
    <w:rsid w:val="00EE40F3"/>
    <w:rsid w:val="00EF3864"/>
    <w:rsid w:val="00EF7596"/>
    <w:rsid w:val="00F03C6C"/>
    <w:rsid w:val="00F12458"/>
    <w:rsid w:val="00F14B95"/>
    <w:rsid w:val="00F154FD"/>
    <w:rsid w:val="00F15F67"/>
    <w:rsid w:val="00F2123B"/>
    <w:rsid w:val="00F22ED1"/>
    <w:rsid w:val="00F259A8"/>
    <w:rsid w:val="00F30781"/>
    <w:rsid w:val="00F318A5"/>
    <w:rsid w:val="00F31A90"/>
    <w:rsid w:val="00F337AB"/>
    <w:rsid w:val="00F34710"/>
    <w:rsid w:val="00F36724"/>
    <w:rsid w:val="00F41C5D"/>
    <w:rsid w:val="00F41F10"/>
    <w:rsid w:val="00F4669F"/>
    <w:rsid w:val="00F47275"/>
    <w:rsid w:val="00F54766"/>
    <w:rsid w:val="00F54BA3"/>
    <w:rsid w:val="00F56A33"/>
    <w:rsid w:val="00F621FB"/>
    <w:rsid w:val="00F7108F"/>
    <w:rsid w:val="00F7647F"/>
    <w:rsid w:val="00F83E68"/>
    <w:rsid w:val="00F932F6"/>
    <w:rsid w:val="00FA5DD5"/>
    <w:rsid w:val="00FA6C83"/>
    <w:rsid w:val="00FA75D6"/>
    <w:rsid w:val="00FB006D"/>
    <w:rsid w:val="00FB52A1"/>
    <w:rsid w:val="00FC2211"/>
    <w:rsid w:val="00FC742D"/>
    <w:rsid w:val="00FD2A42"/>
    <w:rsid w:val="00FD3BB3"/>
    <w:rsid w:val="00FD61C0"/>
    <w:rsid w:val="00FE0303"/>
    <w:rsid w:val="00FE2A5E"/>
    <w:rsid w:val="00FE57A8"/>
    <w:rsid w:val="00FE70EE"/>
    <w:rsid w:val="00FF4A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EF76"/>
  <w15:chartTrackingRefBased/>
  <w15:docId w15:val="{EDEAD391-3CFC-4250-93F0-19DEA2A3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F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1F8D"/>
  </w:style>
  <w:style w:type="paragraph" w:styleId="Footer">
    <w:name w:val="footer"/>
    <w:basedOn w:val="Normal"/>
    <w:link w:val="FooterChar"/>
    <w:uiPriority w:val="99"/>
    <w:unhideWhenUsed/>
    <w:rsid w:val="003F1F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1F8D"/>
  </w:style>
  <w:style w:type="paragraph" w:styleId="ListParagraph">
    <w:name w:val="List Paragraph"/>
    <w:basedOn w:val="Normal"/>
    <w:uiPriority w:val="34"/>
    <w:qFormat/>
    <w:rsid w:val="00471830"/>
    <w:pPr>
      <w:ind w:left="720"/>
      <w:contextualSpacing/>
    </w:pPr>
  </w:style>
  <w:style w:type="paragraph" w:styleId="NormalWeb">
    <w:name w:val="Normal (Web)"/>
    <w:basedOn w:val="Normal"/>
    <w:uiPriority w:val="99"/>
    <w:semiHidden/>
    <w:unhideWhenUsed/>
    <w:rsid w:val="0015583D"/>
    <w:pPr>
      <w:spacing w:after="0" w:line="240" w:lineRule="auto"/>
    </w:pPr>
    <w:rPr>
      <w:rFonts w:ascii="Times New Roman" w:eastAsia="Times New Roman" w:hAnsi="Times New Roman" w:cs="Times New Roman"/>
      <w:sz w:val="24"/>
      <w:szCs w:val="24"/>
      <w:lang w:eastAsia="hr-HR"/>
    </w:rPr>
  </w:style>
  <w:style w:type="paragraph" w:customStyle="1" w:styleId="Default">
    <w:name w:val="Default"/>
    <w:rsid w:val="00794D4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53084"/>
    <w:rPr>
      <w:b/>
      <w:bCs/>
    </w:rPr>
  </w:style>
  <w:style w:type="paragraph" w:styleId="BalloonText">
    <w:name w:val="Balloon Text"/>
    <w:basedOn w:val="Normal"/>
    <w:link w:val="BalloonTextChar"/>
    <w:uiPriority w:val="99"/>
    <w:semiHidden/>
    <w:unhideWhenUsed/>
    <w:rsid w:val="00393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BE"/>
    <w:rPr>
      <w:rFonts w:ascii="Segoe UI" w:hAnsi="Segoe UI" w:cs="Segoe UI"/>
      <w:sz w:val="18"/>
      <w:szCs w:val="18"/>
    </w:rPr>
  </w:style>
  <w:style w:type="table" w:styleId="TableGridLight">
    <w:name w:val="Grid Table Light"/>
    <w:basedOn w:val="TableNormal"/>
    <w:uiPriority w:val="40"/>
    <w:rsid w:val="009F3D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F3D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076E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76E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rsid w:val="0079684E"/>
    <w:rPr>
      <w:rFonts w:ascii="Helvetica" w:hAnsi="Helvetica" w:cs="Helvetic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88095">
      <w:bodyDiv w:val="1"/>
      <w:marLeft w:val="0"/>
      <w:marRight w:val="0"/>
      <w:marTop w:val="0"/>
      <w:marBottom w:val="0"/>
      <w:divBdr>
        <w:top w:val="none" w:sz="0" w:space="0" w:color="auto"/>
        <w:left w:val="none" w:sz="0" w:space="0" w:color="auto"/>
        <w:bottom w:val="none" w:sz="0" w:space="0" w:color="auto"/>
        <w:right w:val="none" w:sz="0" w:space="0" w:color="auto"/>
      </w:divBdr>
      <w:divsChild>
        <w:div w:id="2049068127">
          <w:marLeft w:val="0"/>
          <w:marRight w:val="0"/>
          <w:marTop w:val="0"/>
          <w:marBottom w:val="0"/>
          <w:divBdr>
            <w:top w:val="none" w:sz="0" w:space="0" w:color="auto"/>
            <w:left w:val="none" w:sz="0" w:space="0" w:color="auto"/>
            <w:bottom w:val="none" w:sz="0" w:space="0" w:color="auto"/>
            <w:right w:val="none" w:sz="0" w:space="0" w:color="auto"/>
          </w:divBdr>
          <w:divsChild>
            <w:div w:id="741876942">
              <w:marLeft w:val="0"/>
              <w:marRight w:val="0"/>
              <w:marTop w:val="0"/>
              <w:marBottom w:val="0"/>
              <w:divBdr>
                <w:top w:val="none" w:sz="0" w:space="0" w:color="auto"/>
                <w:left w:val="none" w:sz="0" w:space="0" w:color="auto"/>
                <w:bottom w:val="none" w:sz="0" w:space="0" w:color="auto"/>
                <w:right w:val="none" w:sz="0" w:space="0" w:color="auto"/>
              </w:divBdr>
              <w:divsChild>
                <w:div w:id="263730538">
                  <w:marLeft w:val="0"/>
                  <w:marRight w:val="0"/>
                  <w:marTop w:val="0"/>
                  <w:marBottom w:val="0"/>
                  <w:divBdr>
                    <w:top w:val="none" w:sz="0" w:space="0" w:color="auto"/>
                    <w:left w:val="none" w:sz="0" w:space="0" w:color="auto"/>
                    <w:bottom w:val="none" w:sz="0" w:space="0" w:color="auto"/>
                    <w:right w:val="none" w:sz="0" w:space="0" w:color="auto"/>
                  </w:divBdr>
                  <w:divsChild>
                    <w:div w:id="1141768469">
                      <w:marLeft w:val="0"/>
                      <w:marRight w:val="300"/>
                      <w:marTop w:val="0"/>
                      <w:marBottom w:val="0"/>
                      <w:divBdr>
                        <w:top w:val="none" w:sz="0" w:space="0" w:color="auto"/>
                        <w:left w:val="none" w:sz="0" w:space="0" w:color="auto"/>
                        <w:bottom w:val="none" w:sz="0" w:space="0" w:color="auto"/>
                        <w:right w:val="none" w:sz="0" w:space="0" w:color="auto"/>
                      </w:divBdr>
                      <w:divsChild>
                        <w:div w:id="201159307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2142">
      <w:bodyDiv w:val="1"/>
      <w:marLeft w:val="0"/>
      <w:marRight w:val="0"/>
      <w:marTop w:val="0"/>
      <w:marBottom w:val="0"/>
      <w:divBdr>
        <w:top w:val="none" w:sz="0" w:space="0" w:color="auto"/>
        <w:left w:val="none" w:sz="0" w:space="0" w:color="auto"/>
        <w:bottom w:val="none" w:sz="0" w:space="0" w:color="auto"/>
        <w:right w:val="none" w:sz="0" w:space="0" w:color="auto"/>
      </w:divBdr>
    </w:div>
    <w:div w:id="908613056">
      <w:bodyDiv w:val="1"/>
      <w:marLeft w:val="0"/>
      <w:marRight w:val="0"/>
      <w:marTop w:val="0"/>
      <w:marBottom w:val="0"/>
      <w:divBdr>
        <w:top w:val="none" w:sz="0" w:space="0" w:color="auto"/>
        <w:left w:val="none" w:sz="0" w:space="0" w:color="auto"/>
        <w:bottom w:val="none" w:sz="0" w:space="0" w:color="auto"/>
        <w:right w:val="none" w:sz="0" w:space="0" w:color="auto"/>
      </w:divBdr>
    </w:div>
    <w:div w:id="1091856588">
      <w:bodyDiv w:val="1"/>
      <w:marLeft w:val="0"/>
      <w:marRight w:val="0"/>
      <w:marTop w:val="0"/>
      <w:marBottom w:val="0"/>
      <w:divBdr>
        <w:top w:val="none" w:sz="0" w:space="0" w:color="auto"/>
        <w:left w:val="none" w:sz="0" w:space="0" w:color="auto"/>
        <w:bottom w:val="none" w:sz="0" w:space="0" w:color="auto"/>
        <w:right w:val="none" w:sz="0" w:space="0" w:color="auto"/>
      </w:divBdr>
    </w:div>
    <w:div w:id="146770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1EF0-F926-4A88-8811-BDC9E60D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39</Pages>
  <Words>13102</Words>
  <Characters>74683</Characters>
  <Application>Microsoft Office Word</Application>
  <DocSecurity>0</DocSecurity>
  <Lines>622</Lines>
  <Paragraphs>175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Basta Miletić</dc:creator>
  <cp:keywords/>
  <dc:description/>
  <cp:lastModifiedBy>Ivana Lučić</cp:lastModifiedBy>
  <cp:revision>9</cp:revision>
  <cp:lastPrinted>2021-02-24T10:26:00Z</cp:lastPrinted>
  <dcterms:created xsi:type="dcterms:W3CDTF">2021-02-23T08:42:00Z</dcterms:created>
  <dcterms:modified xsi:type="dcterms:W3CDTF">2021-02-24T10:30:00Z</dcterms:modified>
</cp:coreProperties>
</file>